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71D9" w14:textId="77777777" w:rsidR="006139BA" w:rsidRPr="00773D16" w:rsidRDefault="006139BA" w:rsidP="00081761">
      <w:pPr>
        <w:tabs>
          <w:tab w:val="center" w:pos="4252"/>
          <w:tab w:val="right" w:pos="8504"/>
        </w:tabs>
        <w:spacing w:after="0" w:line="240" w:lineRule="auto"/>
        <w:ind w:right="40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73D16">
        <w:rPr>
          <w:rFonts w:ascii="Arial" w:eastAsia="Arial" w:hAnsi="Arial" w:cs="Arial"/>
          <w:b/>
          <w:color w:val="000000" w:themeColor="text1"/>
          <w:sz w:val="24"/>
          <w:szCs w:val="24"/>
        </w:rPr>
        <w:t>SECRETARÍA TÉCNICA</w:t>
      </w:r>
    </w:p>
    <w:p w14:paraId="598859A6" w14:textId="77777777" w:rsidR="006139BA" w:rsidRPr="00773D16" w:rsidRDefault="006139BA" w:rsidP="00081761">
      <w:pPr>
        <w:tabs>
          <w:tab w:val="center" w:pos="4252"/>
          <w:tab w:val="right" w:pos="8504"/>
        </w:tabs>
        <w:spacing w:after="0" w:line="240" w:lineRule="auto"/>
        <w:ind w:right="40"/>
        <w:rPr>
          <w:rFonts w:ascii="Arial" w:eastAsia="Arial" w:hAnsi="Arial" w:cs="Arial"/>
          <w:color w:val="000000" w:themeColor="text1"/>
        </w:rPr>
      </w:pPr>
      <w:bookmarkStart w:id="0" w:name="_gjdgxs" w:colFirst="0" w:colLast="0"/>
      <w:bookmarkEnd w:id="0"/>
    </w:p>
    <w:p w14:paraId="719C982D" w14:textId="77777777" w:rsidR="006139BA" w:rsidRPr="00773D16" w:rsidRDefault="006139BA" w:rsidP="00081761">
      <w:pPr>
        <w:tabs>
          <w:tab w:val="center" w:pos="4252"/>
          <w:tab w:val="right" w:pos="8504"/>
        </w:tabs>
        <w:spacing w:after="0" w:line="240" w:lineRule="auto"/>
        <w:ind w:right="40"/>
        <w:jc w:val="right"/>
        <w:rPr>
          <w:rFonts w:ascii="Arial" w:eastAsia="Arial" w:hAnsi="Arial" w:cs="Arial"/>
          <w:color w:val="000000" w:themeColor="text1"/>
        </w:rPr>
      </w:pPr>
    </w:p>
    <w:p w14:paraId="72497BCE" w14:textId="7E4BF710" w:rsidR="00F75FDE" w:rsidRPr="00773D16" w:rsidRDefault="00F75FDE" w:rsidP="00F75FDE">
      <w:pPr>
        <w:suppressAutoHyphens w:val="0"/>
        <w:spacing w:after="0" w:line="240" w:lineRule="auto"/>
        <w:ind w:left="283"/>
        <w:contextualSpacing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</w:pPr>
      <w:r w:rsidRPr="00773D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shd w:val="clear" w:color="auto" w:fill="FFFFFF"/>
          <w:lang w:eastAsia="es-ES_tradnl"/>
        </w:rPr>
        <w:t>ESTADÍSTICAS E INDICADORES SOBRE LOS MEDIOS DE IMPUGNACIÓN</w:t>
      </w:r>
      <w:r w:rsidRPr="00773D16"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  <w:t xml:space="preserve"> </w:t>
      </w:r>
      <w:r w:rsidRPr="00773D16">
        <w:rPr>
          <w:rFonts w:ascii="Arial" w:eastAsia="Times New Roman" w:hAnsi="Arial" w:cs="Arial"/>
          <w:kern w:val="0"/>
          <w:sz w:val="24"/>
          <w:szCs w:val="24"/>
          <w:lang w:eastAsia="es-ES_tradnl"/>
        </w:rPr>
        <w:t>D</w:t>
      </w:r>
      <w:r w:rsidRPr="00773D16">
        <w:rPr>
          <w:rFonts w:ascii="Arial" w:eastAsiaTheme="minorHAnsi" w:hAnsi="Arial" w:cs="Arial"/>
          <w:color w:val="000000"/>
          <w:kern w:val="0"/>
          <w:sz w:val="24"/>
          <w:szCs w:val="24"/>
          <w:shd w:val="clear" w:color="auto" w:fill="FFFFFF"/>
          <w:lang w:val="es-ES" w:eastAsia="en-US"/>
        </w:rPr>
        <w:t xml:space="preserve">EL PERIODO COMPRENDIDO DE </w:t>
      </w:r>
      <w:r w:rsidR="00B530F4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>ABRIL</w:t>
      </w:r>
      <w:r w:rsidRPr="00773D16">
        <w:rPr>
          <w:rFonts w:ascii="Arial" w:eastAsiaTheme="minorHAnsi" w:hAnsi="Arial" w:cs="Arial"/>
          <w:color w:val="000000"/>
          <w:kern w:val="0"/>
          <w:sz w:val="24"/>
          <w:szCs w:val="24"/>
          <w:shd w:val="clear" w:color="auto" w:fill="FFFFFF"/>
          <w:lang w:val="es-ES" w:eastAsia="en-US"/>
        </w:rPr>
        <w:t xml:space="preserve"> </w:t>
      </w:r>
      <w:r w:rsidRPr="00773D16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 xml:space="preserve">A </w:t>
      </w:r>
      <w:r w:rsidR="00B530F4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>JUNIO</w:t>
      </w:r>
      <w:r w:rsidR="00C66BA9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 xml:space="preserve">, AÑO </w:t>
      </w:r>
      <w:r w:rsidRPr="00773D16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>202</w:t>
      </w:r>
      <w:r w:rsidR="0025465D">
        <w:rPr>
          <w:rFonts w:ascii="Arial" w:eastAsiaTheme="minorHAnsi" w:hAnsi="Arial" w:cs="Arial"/>
          <w:b/>
          <w:bCs/>
          <w:color w:val="000000"/>
          <w:kern w:val="0"/>
          <w:sz w:val="24"/>
          <w:szCs w:val="24"/>
          <w:shd w:val="clear" w:color="auto" w:fill="FFFFFF"/>
          <w:lang w:val="es-ES" w:eastAsia="en-US"/>
        </w:rPr>
        <w:t>4</w:t>
      </w:r>
      <w:r w:rsidRPr="00773D16">
        <w:rPr>
          <w:rFonts w:ascii="Arial" w:eastAsiaTheme="minorHAnsi" w:hAnsi="Arial" w:cs="Arial"/>
          <w:color w:val="000000"/>
          <w:kern w:val="0"/>
          <w:sz w:val="24"/>
          <w:szCs w:val="24"/>
          <w:shd w:val="clear" w:color="auto" w:fill="FFFFFF"/>
          <w:lang w:val="es-ES" w:eastAsia="en-US"/>
        </w:rPr>
        <w:t>.</w:t>
      </w:r>
    </w:p>
    <w:p w14:paraId="081F81AE" w14:textId="77777777" w:rsidR="00F75FDE" w:rsidRPr="00773D16" w:rsidRDefault="00F75FDE" w:rsidP="00F75FDE">
      <w:pPr>
        <w:suppressAutoHyphens w:val="0"/>
        <w:spacing w:after="0" w:line="360" w:lineRule="auto"/>
        <w:ind w:left="284" w:hanging="142"/>
        <w:rPr>
          <w:rFonts w:asciiTheme="minorHAnsi" w:eastAsiaTheme="minorHAnsi" w:hAnsiTheme="minorHAnsi" w:cstheme="minorBidi"/>
          <w:kern w:val="0"/>
          <w:lang w:val="es-ES" w:eastAsia="en-US"/>
        </w:rPr>
      </w:pPr>
    </w:p>
    <w:p w14:paraId="3BBE9CCB" w14:textId="77777777" w:rsidR="00F75FDE" w:rsidRPr="00773D16" w:rsidRDefault="00F75FDE" w:rsidP="00F75FDE">
      <w:pPr>
        <w:numPr>
          <w:ilvl w:val="0"/>
          <w:numId w:val="3"/>
        </w:numPr>
        <w:suppressAutoHyphens w:val="0"/>
        <w:spacing w:after="0" w:line="360" w:lineRule="auto"/>
        <w:contextualSpacing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  <w:r w:rsidRPr="00773D16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>REGISTRO Y TURNO DE MEDIOS DE IMPUGNACIÓN.</w:t>
      </w:r>
    </w:p>
    <w:p w14:paraId="1A91F483" w14:textId="77777777" w:rsidR="00F75FDE" w:rsidRPr="00773D16" w:rsidRDefault="00F75FDE" w:rsidP="00F75FDE">
      <w:pPr>
        <w:suppressAutoHyphens w:val="0"/>
        <w:spacing w:after="0" w:line="360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</w:p>
    <w:p w14:paraId="6C5DF41E" w14:textId="4C0B3B44" w:rsidR="00F75FDE" w:rsidRPr="00773D16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</w:pP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Durante el </w:t>
      </w:r>
      <w:r w:rsidR="00B530F4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>segundo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 trimestre del ejercicio 202</w:t>
      </w:r>
      <w:r w:rsidR="0025465D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>4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, este Instituto recibió un total de </w:t>
      </w:r>
      <w:r w:rsidRPr="00773D16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>1,</w:t>
      </w:r>
      <w:r w:rsidR="00B530F4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>714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 recursos de revisión en materia de acceso a la información pública, </w:t>
      </w:r>
      <w:r w:rsidR="00B530F4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>85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 respecto de los derechos ARCO, </w:t>
      </w:r>
      <w:r w:rsidR="00B530F4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>46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 denuncias por posibles incumplimientos a las obligaciones de transparencia y </w:t>
      </w:r>
      <w:r w:rsidR="00B530F4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>10</w:t>
      </w:r>
      <w:r w:rsidRPr="00773D16">
        <w:rPr>
          <w:rFonts w:ascii="Arial" w:eastAsiaTheme="minorHAnsi" w:hAnsi="Arial" w:cs="Arial"/>
          <w:b/>
          <w:bCs/>
          <w:color w:val="000000"/>
          <w:kern w:val="0"/>
          <w:shd w:val="clear" w:color="auto" w:fill="FFFFFF"/>
          <w:lang w:val="es-ES" w:eastAsia="en-US"/>
        </w:rPr>
        <w:t xml:space="preserve"> </w:t>
      </w:r>
      <w:r w:rsidRPr="00773D16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>en materia de protección de datos personales, dichos medios de impugnación se turnaron de la siguiente manera:</w:t>
      </w:r>
    </w:p>
    <w:p w14:paraId="6CA5FD5D" w14:textId="77777777" w:rsidR="003D201A" w:rsidRPr="00773D16" w:rsidRDefault="003D201A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/>
          <w:kern w:val="0"/>
          <w:sz w:val="24"/>
          <w:szCs w:val="24"/>
          <w:shd w:val="clear" w:color="auto" w:fill="FFFFFF"/>
          <w:lang w:val="es-ES" w:eastAsia="en-US"/>
        </w:rPr>
      </w:pPr>
    </w:p>
    <w:tbl>
      <w:tblPr>
        <w:tblpPr w:leftFromText="141" w:rightFromText="141" w:vertAnchor="text" w:horzAnchor="margin" w:tblpX="562" w:tblpY="148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0"/>
        <w:gridCol w:w="1345"/>
        <w:gridCol w:w="1344"/>
        <w:gridCol w:w="1346"/>
        <w:gridCol w:w="1343"/>
        <w:gridCol w:w="994"/>
      </w:tblGrid>
      <w:tr w:rsidR="004B3508" w:rsidRPr="00773D16" w14:paraId="11BB2FD0" w14:textId="77777777" w:rsidTr="0000594C">
        <w:trPr>
          <w:trHeight w:val="593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6B1B61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 xml:space="preserve">Comisionado </w:t>
            </w: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br/>
              <w:t xml:space="preserve">y/o </w:t>
            </w: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br/>
              <w:t>Comisionada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065B71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Recursos de Revisión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9EEB3A1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Denuncias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6DD617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shd w:val="clear" w:color="auto" w:fill="33CCCC"/>
                <w:lang w:val="es-ES" w:eastAsia="en-US"/>
              </w:rPr>
              <w:t>Tota</w:t>
            </w: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l</w:t>
            </w:r>
          </w:p>
        </w:tc>
      </w:tr>
      <w:tr w:rsidR="003D201A" w:rsidRPr="00773D16" w14:paraId="29CEFCB7" w14:textId="77777777" w:rsidTr="0000594C">
        <w:trPr>
          <w:trHeight w:val="54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5525F0FD" w14:textId="77777777" w:rsidR="00F75FDE" w:rsidRPr="00773D16" w:rsidRDefault="00F75FDE" w:rsidP="003D201A">
            <w:pPr>
              <w:suppressAutoHyphens w:val="0"/>
              <w:spacing w:after="0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9AFD1E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IP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3ED2E41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DP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1462F4" w14:textId="3D4A6D31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DLT</w:t>
            </w:r>
            <w:r w:rsidR="00715879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*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22527D9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773D16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D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6767764" w14:textId="77777777" w:rsidR="00F75FDE" w:rsidRPr="00773D16" w:rsidRDefault="00F75FDE" w:rsidP="003D201A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</w:p>
        </w:tc>
      </w:tr>
      <w:tr w:rsidR="0000594C" w:rsidRPr="00773D16" w14:paraId="1B0172EE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C1B39A" w14:textId="77777777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JCBG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13DA7D" w14:textId="66370ADD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416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B1A216" w14:textId="2904FA17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A3F411" w14:textId="3F249F7B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D7145C" w14:textId="55E50149" w:rsidR="0000594C" w:rsidRPr="0000594C" w:rsidRDefault="0000594C" w:rsidP="0000594C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color w:val="000000" w:themeColor="text1"/>
                <w:kern w:val="0"/>
                <w:lang w:val="es-ES" w:eastAsia="es-MX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34BB47" w14:textId="3D653929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447</w:t>
            </w:r>
          </w:p>
        </w:tc>
      </w:tr>
      <w:tr w:rsidR="0000594C" w:rsidRPr="00773D16" w14:paraId="6419E297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A2C9BD" w14:textId="77777777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LLER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2210C1" w14:textId="3ABC34AD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418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E9A5B1" w14:textId="12A517D3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86283C" w14:textId="3D535843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C22A5D" w14:textId="30930C24" w:rsidR="0000594C" w:rsidRPr="0000594C" w:rsidRDefault="0000594C" w:rsidP="0000594C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color w:val="000000" w:themeColor="text1"/>
                <w:kern w:val="0"/>
                <w:lang w:val="es-ES" w:eastAsia="es-MX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DFFDD7" w14:textId="4A865B60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462</w:t>
            </w:r>
          </w:p>
        </w:tc>
      </w:tr>
      <w:tr w:rsidR="0000594C" w:rsidRPr="00773D16" w14:paraId="049BE941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16B19E" w14:textId="7F63394B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ARGG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A8D06B" w14:textId="17BB8780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418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50606E" w14:textId="026D9DF5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902158" w14:textId="49A588E9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5C0E74" w14:textId="123C4ADF" w:rsidR="0000594C" w:rsidRPr="0000594C" w:rsidRDefault="0000594C" w:rsidP="0000594C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color w:val="000000" w:themeColor="text1"/>
                <w:kern w:val="0"/>
                <w:lang w:val="es-ES" w:eastAsia="es-MX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A337AF" w14:textId="5BE81D1E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451</w:t>
            </w:r>
          </w:p>
        </w:tc>
      </w:tr>
      <w:tr w:rsidR="0000594C" w:rsidRPr="00773D16" w14:paraId="2A71DF9D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500A53" w14:textId="77777777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MCNP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A8F655" w14:textId="2EF40CE6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418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FEEF2C" w14:textId="7FE2CC53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2A5216" w14:textId="48640845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9BED70" w14:textId="0CA428A7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F09430" w14:textId="0B29D073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449</w:t>
            </w:r>
          </w:p>
        </w:tc>
      </w:tr>
      <w:tr w:rsidR="0000594C" w:rsidRPr="00773D16" w14:paraId="39BACC46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9C4C58" w14:textId="5843D4E0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MASMR</w:t>
            </w:r>
            <w:r w:rsidR="00715879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**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29C2A8" w14:textId="0FE0B6D3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1D7614" w14:textId="121A824A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47CF4E" w14:textId="1E04FC1E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E8CEDB" w14:textId="465F6523" w:rsidR="0000594C" w:rsidRPr="0000594C" w:rsidRDefault="0000594C" w:rsidP="0000594C">
            <w:pPr>
              <w:suppressAutoHyphens w:val="0"/>
              <w:spacing w:after="0"/>
              <w:jc w:val="center"/>
              <w:rPr>
                <w:rFonts w:ascii="Arial" w:eastAsiaTheme="minorHAnsi" w:hAnsi="Arial" w:cs="Arial"/>
                <w:color w:val="000000" w:themeColor="text1"/>
                <w:kern w:val="0"/>
                <w:lang w:val="es-ES" w:eastAsia="es-MX"/>
              </w:rPr>
            </w:pPr>
            <w:r w:rsidRPr="0000594C">
              <w:rPr>
                <w:rFonts w:ascii="Arial" w:hAnsi="Arial" w:cs="Arial"/>
                <w:color w:val="000000" w:themeColor="text1"/>
                <w:lang w:val="es-E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549A93" w14:textId="27915738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46</w:t>
            </w:r>
          </w:p>
        </w:tc>
      </w:tr>
      <w:tr w:rsidR="0000594C" w:rsidRPr="00773D16" w14:paraId="05C1D1A6" w14:textId="77777777" w:rsidTr="0000594C">
        <w:trPr>
          <w:trHeight w:val="5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E3B6F39" w14:textId="77777777" w:rsidR="0000594C" w:rsidRPr="005031F5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noProof/>
                <w:kern w:val="0"/>
                <w:lang w:val="es-ES" w:eastAsia="en-US"/>
              </w:rPr>
            </w:pPr>
            <w:r w:rsidRPr="005031F5">
              <w:rPr>
                <w:rFonts w:ascii="Arial" w:eastAsiaTheme="minorHAnsi" w:hAnsi="Arial" w:cs="Arial"/>
                <w:b/>
                <w:bCs/>
                <w:noProof/>
                <w:kern w:val="0"/>
                <w:lang w:val="es-ES" w:eastAsia="en-US"/>
              </w:rPr>
              <w:t>TOTAL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26B6B8" w14:textId="5EBCA43D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1,714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CA8F4" w14:textId="3AF16486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2A78FF" w14:textId="726529E4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46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70BF1C" w14:textId="146CE769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603AF0" w14:textId="77A5E46B" w:rsidR="0000594C" w:rsidRPr="0000594C" w:rsidRDefault="0000594C" w:rsidP="0000594C">
            <w:pPr>
              <w:suppressAutoHyphens w:val="0"/>
              <w:jc w:val="center"/>
              <w:rPr>
                <w:rFonts w:ascii="Arial" w:eastAsiaTheme="minorHAnsi" w:hAnsi="Arial" w:cs="Arial"/>
                <w:b/>
                <w:bCs/>
                <w:noProof/>
                <w:color w:val="000000" w:themeColor="text1"/>
                <w:kern w:val="0"/>
                <w:highlight w:val="yellow"/>
                <w:lang w:val="es-ES" w:eastAsia="en-US"/>
              </w:rPr>
            </w:pPr>
            <w:r w:rsidRPr="0000594C">
              <w:rPr>
                <w:rFonts w:ascii="Arial" w:hAnsi="Arial" w:cs="Arial"/>
                <w:b/>
                <w:bCs/>
                <w:color w:val="000000" w:themeColor="text1"/>
              </w:rPr>
              <w:t>1,855</w:t>
            </w:r>
          </w:p>
        </w:tc>
      </w:tr>
    </w:tbl>
    <w:p w14:paraId="17811D93" w14:textId="560BF867" w:rsidR="003D201A" w:rsidRDefault="00D87F39" w:rsidP="00D36FC9">
      <w:pPr>
        <w:suppressAutoHyphens w:val="0"/>
        <w:ind w:firstLine="567"/>
        <w:jc w:val="both"/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</w:pPr>
      <w:r w:rsidRPr="00773D16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eastAsia="es-ES_tradnl"/>
        </w:rPr>
        <w:t xml:space="preserve">Fuente: INFO CDMX, Secretaría Técnica. - </w:t>
      </w:r>
      <w:r w:rsidRPr="00773D16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 xml:space="preserve">Corte al </w:t>
      </w:r>
      <w:r w:rsidR="005031F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>30</w:t>
      </w:r>
      <w:r w:rsidRPr="00773D16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 xml:space="preserve"> de </w:t>
      </w:r>
      <w:r w:rsidR="00D36FC9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>ju</w:t>
      </w:r>
      <w:r w:rsidR="005031F5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>nio</w:t>
      </w:r>
      <w:r w:rsidRPr="00773D16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 xml:space="preserve"> de 202</w:t>
      </w:r>
      <w:r w:rsidR="00090632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>4</w:t>
      </w:r>
      <w:r w:rsidRPr="00773D16"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  <w:t>.</w:t>
      </w:r>
    </w:p>
    <w:p w14:paraId="21C2DDF3" w14:textId="77777777" w:rsidR="00715879" w:rsidRPr="00715879" w:rsidRDefault="00715879" w:rsidP="00715879">
      <w:pPr>
        <w:suppressAutoHyphens w:val="0"/>
        <w:spacing w:after="0" w:line="240" w:lineRule="auto"/>
        <w:ind w:left="567"/>
        <w:jc w:val="both"/>
        <w:rPr>
          <w:rFonts w:ascii="Arial" w:hAnsi="Arial" w:cs="Arial"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</w:pPr>
      <w:r w:rsidRPr="00715879">
        <w:rPr>
          <w:rFonts w:ascii="Arial" w:hAnsi="Arial" w:cs="Arial"/>
          <w:b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  <w:t xml:space="preserve">*Nota: </w:t>
      </w:r>
      <w:r w:rsidRPr="00715879">
        <w:rPr>
          <w:rFonts w:ascii="Arial" w:hAnsi="Arial" w:cs="Arial"/>
          <w:color w:val="000000"/>
          <w:kern w:val="0"/>
          <w:sz w:val="18"/>
          <w:szCs w:val="18"/>
          <w:shd w:val="clear" w:color="auto" w:fill="FFFFFF"/>
          <w:lang w:val="es-ES" w:eastAsia="en-US"/>
        </w:rPr>
        <w:t xml:space="preserve">Por lo que hace a las denuncias por probable incumplimiento a las obligaciones de transparencia, se determinó que por el aumento significativo de asuntos interpuestos se </w:t>
      </w:r>
      <w:r w:rsidRPr="00715879">
        <w:rPr>
          <w:rFonts w:ascii="Arial" w:hAnsi="Arial" w:cs="Arial"/>
          <w:color w:val="000000"/>
          <w:kern w:val="0"/>
          <w:sz w:val="18"/>
          <w:szCs w:val="18"/>
          <w:shd w:val="clear" w:color="auto" w:fill="FFFFFF"/>
          <w:lang w:val="es-ES" w:eastAsia="en-US"/>
        </w:rPr>
        <w:br/>
        <w:t xml:space="preserve">turnarían por bloque de sujeto obligado, manteniendo en todo momento </w:t>
      </w:r>
      <w:r w:rsidRPr="00715879">
        <w:rPr>
          <w:rFonts w:ascii="Arial" w:hAnsi="Arial" w:cs="Arial"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  <w:t xml:space="preserve">el turno por estricto </w:t>
      </w:r>
      <w:r w:rsidRPr="00715879">
        <w:rPr>
          <w:rFonts w:ascii="Arial" w:hAnsi="Arial" w:cs="Arial"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  <w:br/>
        <w:t>orden alfabético a las Ponencias.</w:t>
      </w:r>
    </w:p>
    <w:p w14:paraId="4BC98A7E" w14:textId="77777777" w:rsidR="00715879" w:rsidRPr="00715879" w:rsidRDefault="00715879" w:rsidP="00715879">
      <w:pPr>
        <w:suppressAutoHyphens w:val="0"/>
        <w:spacing w:after="0" w:line="240" w:lineRule="auto"/>
        <w:ind w:left="567"/>
        <w:jc w:val="both"/>
        <w:rPr>
          <w:rFonts w:ascii="Arial" w:hAnsi="Arial" w:cs="Arial"/>
          <w:bCs/>
          <w:color w:val="000000"/>
          <w:kern w:val="0"/>
          <w:sz w:val="18"/>
          <w:szCs w:val="18"/>
          <w:highlight w:val="yellow"/>
          <w:shd w:val="clear" w:color="auto" w:fill="FFFFFF"/>
          <w:lang w:val="es-ES" w:eastAsia="en-US"/>
        </w:rPr>
      </w:pPr>
    </w:p>
    <w:p w14:paraId="0DD2EE1A" w14:textId="77777777" w:rsidR="00715879" w:rsidRPr="00715879" w:rsidRDefault="00715879" w:rsidP="00715879">
      <w:pPr>
        <w:suppressAutoHyphens w:val="0"/>
        <w:spacing w:after="0" w:line="240" w:lineRule="auto"/>
        <w:ind w:left="567"/>
        <w:jc w:val="both"/>
        <w:rPr>
          <w:rFonts w:ascii="Arial" w:hAnsi="Arial" w:cs="Arial"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</w:pPr>
      <w:r w:rsidRPr="00715879">
        <w:rPr>
          <w:rFonts w:ascii="Arial" w:hAnsi="Arial" w:cs="Arial"/>
          <w:bCs/>
          <w:color w:val="000000"/>
          <w:kern w:val="0"/>
          <w:sz w:val="18"/>
          <w:szCs w:val="18"/>
          <w:shd w:val="clear" w:color="auto" w:fill="FFFFFF"/>
          <w:lang w:val="es-ES" w:eastAsia="en-US"/>
        </w:rPr>
        <w:t>** Con motivo de la aprobación del Acuerdo 1845/SO/10-04/2024, se modificó el procedimiento de turno de los medios de impugnación a partir del diez de abril de dos mil veinticuatro hasta en tanto se designe y tome posesión la persona Comisionada Ciudadana que cubra la vacante que deja la Comisionada Ciudadana Marina Alicia San Martín Rebolloso con motivo de su renuncia.</w:t>
      </w:r>
    </w:p>
    <w:p w14:paraId="6D1A77EA" w14:textId="77777777" w:rsidR="00D36FC9" w:rsidRPr="00D36FC9" w:rsidRDefault="00D36FC9" w:rsidP="0030283D">
      <w:pPr>
        <w:suppressAutoHyphens w:val="0"/>
        <w:jc w:val="both"/>
        <w:rPr>
          <w:rFonts w:ascii="Arial" w:eastAsia="Times New Roman" w:hAnsi="Arial" w:cs="Arial"/>
          <w:color w:val="000000" w:themeColor="text1"/>
          <w:kern w:val="0"/>
          <w:sz w:val="14"/>
          <w:szCs w:val="14"/>
          <w:lang w:val="es-ES" w:eastAsia="es-ES_tradnl"/>
        </w:rPr>
      </w:pPr>
    </w:p>
    <w:p w14:paraId="61F073C5" w14:textId="6A079A4A" w:rsidR="00F75FDE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lang w:val="es-ES" w:eastAsia="en-US"/>
        </w:rPr>
      </w:pPr>
      <w:bookmarkStart w:id="1" w:name="_Hlk86078802"/>
      <w:r w:rsidRPr="00E72DAE">
        <w:rPr>
          <w:rFonts w:ascii="Arial" w:eastAsiaTheme="minorHAnsi" w:hAnsi="Arial" w:cs="Arial"/>
          <w:kern w:val="0"/>
          <w:lang w:val="es-ES" w:eastAsia="en-US"/>
        </w:rPr>
        <w:lastRenderedPageBreak/>
        <w:t xml:space="preserve">Ahora bien, el </w:t>
      </w:r>
      <w:r w:rsidR="00E72DAE" w:rsidRPr="00E72DAE">
        <w:rPr>
          <w:rFonts w:ascii="Arial" w:eastAsiaTheme="minorHAnsi" w:hAnsi="Arial" w:cs="Arial"/>
          <w:kern w:val="0"/>
          <w:lang w:val="es-ES" w:eastAsia="en-US"/>
        </w:rPr>
        <w:t>9</w:t>
      </w:r>
      <w:r w:rsidR="00647343">
        <w:rPr>
          <w:rFonts w:ascii="Arial" w:eastAsiaTheme="minorHAnsi" w:hAnsi="Arial" w:cs="Arial"/>
          <w:kern w:val="0"/>
          <w:lang w:val="es-ES" w:eastAsia="en-US"/>
        </w:rPr>
        <w:t>2</w:t>
      </w:r>
      <w:r w:rsidRPr="00E72DAE">
        <w:rPr>
          <w:rFonts w:ascii="Arial" w:eastAsiaTheme="minorHAnsi" w:hAnsi="Arial" w:cs="Arial"/>
          <w:kern w:val="0"/>
          <w:lang w:val="es-ES" w:eastAsia="en-US"/>
        </w:rPr>
        <w:t xml:space="preserve">% de los asuntos interpuestos corresponden a recursos </w:t>
      </w:r>
      <w:r w:rsidR="00647343">
        <w:rPr>
          <w:rFonts w:ascii="Arial" w:eastAsiaTheme="minorHAnsi" w:hAnsi="Arial" w:cs="Arial"/>
          <w:kern w:val="0"/>
          <w:lang w:val="es-ES" w:eastAsia="en-US"/>
        </w:rPr>
        <w:t xml:space="preserve">de revisión </w:t>
      </w:r>
      <w:r w:rsidRPr="00E72DAE">
        <w:rPr>
          <w:rFonts w:ascii="Arial" w:eastAsiaTheme="minorHAnsi" w:hAnsi="Arial" w:cs="Arial"/>
          <w:kern w:val="0"/>
          <w:lang w:val="es-ES" w:eastAsia="en-US"/>
        </w:rPr>
        <w:t xml:space="preserve">en materia </w:t>
      </w:r>
      <w:r w:rsidR="00647343">
        <w:rPr>
          <w:rFonts w:ascii="Arial" w:eastAsiaTheme="minorHAnsi" w:hAnsi="Arial" w:cs="Arial"/>
          <w:kern w:val="0"/>
          <w:lang w:val="es-ES" w:eastAsia="en-US"/>
        </w:rPr>
        <w:t>de información pública</w:t>
      </w:r>
      <w:r w:rsidRPr="00E72DAE">
        <w:rPr>
          <w:rFonts w:ascii="Arial" w:eastAsiaTheme="minorHAnsi" w:hAnsi="Arial" w:cs="Arial"/>
          <w:kern w:val="0"/>
          <w:lang w:val="es-ES" w:eastAsia="en-US"/>
        </w:rPr>
        <w:t>, como se indica a continuación:</w:t>
      </w:r>
    </w:p>
    <w:p w14:paraId="14B4DE65" w14:textId="77777777" w:rsidR="0048083E" w:rsidRPr="00773D16" w:rsidRDefault="0048083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lang w:val="es-ES" w:eastAsia="en-US"/>
        </w:rPr>
      </w:pPr>
    </w:p>
    <w:p w14:paraId="554F72B1" w14:textId="19BAA0B4" w:rsidR="003D201A" w:rsidRPr="00773D16" w:rsidRDefault="00647343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  <w:r>
        <w:rPr>
          <w:rFonts w:ascii="Arial" w:eastAsiaTheme="minorHAnsi" w:hAnsi="Arial" w:cs="Arial"/>
          <w:noProof/>
          <w:kern w:val="0"/>
          <w:sz w:val="24"/>
          <w:szCs w:val="24"/>
          <w:lang w:val="es-ES" w:eastAsia="en-US"/>
        </w:rPr>
        <w:drawing>
          <wp:inline distT="0" distB="0" distL="0" distR="0" wp14:anchorId="083D8C94" wp14:editId="09B75F6E">
            <wp:extent cx="5997575" cy="3528074"/>
            <wp:effectExtent l="0" t="0" r="3175" b="0"/>
            <wp:docPr id="1305641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426" cy="3556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0A939CBD" w14:textId="2D3E22DC" w:rsidR="00F75FDE" w:rsidRPr="00773D16" w:rsidRDefault="00F75FDE" w:rsidP="00647343">
      <w:pPr>
        <w:suppressAutoHyphens w:val="0"/>
        <w:spacing w:after="0" w:line="360" w:lineRule="auto"/>
        <w:ind w:left="426"/>
        <w:jc w:val="both"/>
        <w:rPr>
          <w:rFonts w:asciiTheme="minorHAnsi" w:eastAsiaTheme="minorHAnsi" w:hAnsiTheme="minorHAnsi" w:cstheme="minorBidi"/>
          <w:noProof/>
          <w:kern w:val="0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27C31D7B" w14:textId="77777777" w:rsidR="0043149B" w:rsidRPr="00773D16" w:rsidRDefault="0043149B" w:rsidP="00F75FDE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s-MX"/>
        </w:rPr>
      </w:pPr>
    </w:p>
    <w:p w14:paraId="09AAE093" w14:textId="77777777" w:rsidR="009E449A" w:rsidRPr="00773D16" w:rsidRDefault="009E449A" w:rsidP="00F75FDE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s-MX"/>
        </w:rPr>
      </w:pPr>
    </w:p>
    <w:p w14:paraId="3BDA9B4B" w14:textId="72E3B8D2" w:rsidR="00F75FDE" w:rsidRPr="00773D16" w:rsidRDefault="00F75FDE" w:rsidP="00F75FDE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</w:pPr>
      <w:r w:rsidRPr="00773D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  <w:t xml:space="preserve">SUJETOS OBLIGADOS CON MÁS ASUNTOS INTERPUESTOS DURANTE EL </w:t>
      </w:r>
      <w:r w:rsidR="0064734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  <w:t>2DO</w:t>
      </w:r>
      <w:r w:rsidRPr="00773D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  <w:t xml:space="preserve"> TRIMESTRE 202</w:t>
      </w:r>
      <w:r w:rsidR="0081459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  <w:t>4</w:t>
      </w:r>
      <w:r w:rsidRPr="00773D1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MX"/>
        </w:rPr>
        <w:t>.</w:t>
      </w:r>
    </w:p>
    <w:p w14:paraId="24E29052" w14:textId="77777777" w:rsidR="009355C2" w:rsidRPr="00773D16" w:rsidRDefault="009355C2" w:rsidP="00ED3018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kern w:val="0"/>
          <w:lang w:eastAsia="es-MX"/>
        </w:rPr>
      </w:pPr>
    </w:p>
    <w:p w14:paraId="0052918C" w14:textId="77777777" w:rsidR="00F75FDE" w:rsidRPr="00773D16" w:rsidRDefault="00F75FDE" w:rsidP="00ED3018">
      <w:pPr>
        <w:suppressAutoHyphens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0"/>
          <w:kern w:val="0"/>
          <w:lang w:eastAsia="es-MX"/>
        </w:rPr>
      </w:pPr>
    </w:p>
    <w:p w14:paraId="103D07C7" w14:textId="753950AF" w:rsidR="00647343" w:rsidRPr="00E72DAE" w:rsidRDefault="009355C2" w:rsidP="00E72DAE">
      <w:pPr>
        <w:spacing w:line="360" w:lineRule="auto"/>
        <w:jc w:val="both"/>
        <w:rPr>
          <w:rFonts w:ascii="Arial" w:hAnsi="Arial" w:cs="Arial"/>
        </w:rPr>
      </w:pPr>
      <w:r w:rsidRPr="005C0466">
        <w:rPr>
          <w:rFonts w:ascii="Arial" w:hAnsi="Arial" w:cs="Arial"/>
        </w:rPr>
        <w:t xml:space="preserve">El </w:t>
      </w:r>
      <w:r w:rsidR="005C0466" w:rsidRPr="005C0466">
        <w:rPr>
          <w:rFonts w:ascii="Arial" w:hAnsi="Arial" w:cs="Arial"/>
        </w:rPr>
        <w:t>30</w:t>
      </w:r>
      <w:r w:rsidR="009E449A" w:rsidRPr="005C0466">
        <w:rPr>
          <w:rFonts w:ascii="Arial" w:hAnsi="Arial" w:cs="Arial"/>
        </w:rPr>
        <w:t>% de los recursos de revisión</w:t>
      </w:r>
      <w:r w:rsidRPr="005C0466">
        <w:rPr>
          <w:rFonts w:ascii="Arial" w:hAnsi="Arial" w:cs="Arial"/>
        </w:rPr>
        <w:t xml:space="preserve"> en materia de información pública </w:t>
      </w:r>
      <w:r w:rsidR="009E449A" w:rsidRPr="005C0466">
        <w:rPr>
          <w:rFonts w:ascii="Arial" w:hAnsi="Arial" w:cs="Arial"/>
        </w:rPr>
        <w:t xml:space="preserve">ingresados durante el periodo que se reporta, corresponden a </w:t>
      </w:r>
      <w:r w:rsidRPr="005C0466">
        <w:rPr>
          <w:rFonts w:ascii="Arial" w:hAnsi="Arial" w:cs="Arial"/>
        </w:rPr>
        <w:t>5</w:t>
      </w:r>
      <w:r w:rsidR="009E449A" w:rsidRPr="005C0466">
        <w:rPr>
          <w:rFonts w:ascii="Arial" w:hAnsi="Arial" w:cs="Arial"/>
        </w:rPr>
        <w:t xml:space="preserve"> sujetos obligados, como se indica a continuación:</w:t>
      </w: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402"/>
      </w:tblGrid>
      <w:tr w:rsidR="00F75FDE" w:rsidRPr="00814596" w14:paraId="49AE9CA8" w14:textId="77777777" w:rsidTr="00ED3018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76FBEEB0" w14:textId="77777777" w:rsidR="00F75FDE" w:rsidRPr="00814596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81459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Sujeto Obligado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bottom"/>
            <w:hideMark/>
          </w:tcPr>
          <w:p w14:paraId="3A00BF10" w14:textId="77777777" w:rsidR="00F75FDE" w:rsidRPr="00814596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81459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Registro de recursos interpuestos (IP)</w:t>
            </w:r>
          </w:p>
        </w:tc>
      </w:tr>
      <w:tr w:rsidR="008324E7" w:rsidRPr="008324E7" w14:paraId="078E012A" w14:textId="77777777" w:rsidTr="008324E7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5D6D" w14:textId="2666E6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Instituto de Capacitación para el Trabajo de la Ciudad de México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0266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147</w:t>
            </w:r>
          </w:p>
        </w:tc>
      </w:tr>
      <w:tr w:rsidR="008324E7" w:rsidRPr="008324E7" w14:paraId="47D28041" w14:textId="77777777" w:rsidTr="008324E7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058" w14:textId="54A4387F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Alcaldía Cuajimalpa de Morelos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20A0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125</w:t>
            </w:r>
          </w:p>
        </w:tc>
      </w:tr>
      <w:tr w:rsidR="008324E7" w:rsidRPr="008324E7" w14:paraId="6D5AD8C0" w14:textId="77777777" w:rsidTr="008324E7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0731" w14:textId="3B18551A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Alcaldía Iztacalco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CAE1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119</w:t>
            </w:r>
          </w:p>
        </w:tc>
      </w:tr>
      <w:tr w:rsidR="008324E7" w:rsidRPr="008324E7" w14:paraId="1D8374E7" w14:textId="77777777" w:rsidTr="008324E7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34BC" w14:textId="2F858EAD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Alcaldía Benito Juárez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FB38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71</w:t>
            </w:r>
          </w:p>
        </w:tc>
      </w:tr>
      <w:tr w:rsidR="008324E7" w:rsidRPr="008324E7" w14:paraId="1C7C5A68" w14:textId="77777777" w:rsidTr="008324E7">
        <w:trPr>
          <w:trHeight w:val="3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86D" w14:textId="31BF6096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lastRenderedPageBreak/>
              <w:t>Alcaldía Xochimilco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9484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67</w:t>
            </w:r>
          </w:p>
        </w:tc>
      </w:tr>
      <w:tr w:rsidR="00F75FDE" w:rsidRPr="00814596" w14:paraId="312FB3AC" w14:textId="77777777" w:rsidTr="00ED3018">
        <w:trPr>
          <w:trHeight w:val="34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C5C" w14:textId="77777777" w:rsidR="00F75FDE" w:rsidRPr="00814596" w:rsidRDefault="00F75FDE" w:rsidP="00ED301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14596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Total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1F25" w14:textId="6A791D77" w:rsidR="00F75FDE" w:rsidRPr="00814596" w:rsidRDefault="008324E7" w:rsidP="00ED301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529</w:t>
            </w:r>
          </w:p>
        </w:tc>
      </w:tr>
    </w:tbl>
    <w:p w14:paraId="4B66DCFC" w14:textId="77777777" w:rsidR="00857B9D" w:rsidRDefault="00857B9D" w:rsidP="00857B9D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3066331F" w14:textId="77777777" w:rsidR="00E72DAE" w:rsidRDefault="00E72DAE" w:rsidP="00857B9D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1B101175" w14:textId="467BFFA1" w:rsidR="00E72DAE" w:rsidRDefault="00647343" w:rsidP="00E72DAE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rFonts w:ascii="Arial" w:eastAsiaTheme="minorHAnsi" w:hAnsi="Arial" w:cs="Arial"/>
          <w:noProof/>
          <w:kern w:val="0"/>
          <w:sz w:val="14"/>
          <w:szCs w:val="14"/>
          <w:lang w:val="es-ES" w:eastAsia="en-US"/>
        </w:rPr>
        <w:drawing>
          <wp:inline distT="0" distB="0" distL="0" distR="0" wp14:anchorId="5E7D0E9E" wp14:editId="30AD5B86">
            <wp:extent cx="5219065" cy="2584450"/>
            <wp:effectExtent l="0" t="0" r="635" b="6350"/>
            <wp:docPr id="5272977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46" cy="2593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18991" w14:textId="746D5CF3" w:rsidR="00F75FDE" w:rsidRDefault="00857B9D" w:rsidP="00647343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1A7B96BF" w14:textId="77777777" w:rsidR="00647343" w:rsidRPr="00647343" w:rsidRDefault="00647343" w:rsidP="00647343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0BB75972" w14:textId="54A7FD5C" w:rsidR="00F75FDE" w:rsidRDefault="009355C2" w:rsidP="004F02E8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lang w:eastAsia="es-ES_tradnl"/>
        </w:rPr>
      </w:pPr>
      <w:r w:rsidRPr="005C0466">
        <w:rPr>
          <w:rFonts w:ascii="Arial" w:eastAsia="Times New Roman" w:hAnsi="Arial" w:cs="Arial"/>
          <w:kern w:val="0"/>
          <w:lang w:eastAsia="es-ES_tradnl"/>
        </w:rPr>
        <w:t>D</w:t>
      </w:r>
      <w:r w:rsidR="00324C85" w:rsidRPr="005C0466">
        <w:rPr>
          <w:rFonts w:ascii="Arial" w:eastAsia="Times New Roman" w:hAnsi="Arial" w:cs="Arial"/>
          <w:kern w:val="0"/>
          <w:lang w:eastAsia="es-ES_tradnl"/>
        </w:rPr>
        <w:t>e los ingresos de recursos de revisión en materia DP durante el periodo que se reporta</w:t>
      </w:r>
      <w:r w:rsidRPr="005C0466">
        <w:rPr>
          <w:rFonts w:ascii="Arial" w:eastAsia="Times New Roman" w:hAnsi="Arial" w:cs="Arial"/>
          <w:kern w:val="0"/>
          <w:lang w:eastAsia="es-ES_tradnl"/>
        </w:rPr>
        <w:t xml:space="preserve">, el </w:t>
      </w:r>
      <w:r w:rsidR="005C0466" w:rsidRPr="005C0466">
        <w:rPr>
          <w:rFonts w:ascii="Arial" w:eastAsia="Times New Roman" w:hAnsi="Arial" w:cs="Arial"/>
          <w:kern w:val="0"/>
          <w:lang w:eastAsia="es-ES_tradnl"/>
        </w:rPr>
        <w:t>55</w:t>
      </w:r>
      <w:r w:rsidRPr="005C0466">
        <w:rPr>
          <w:rFonts w:ascii="Arial" w:eastAsia="Times New Roman" w:hAnsi="Arial" w:cs="Arial"/>
          <w:kern w:val="0"/>
          <w:lang w:eastAsia="es-ES_tradnl"/>
        </w:rPr>
        <w:t>%</w:t>
      </w:r>
      <w:r w:rsidR="00324C85" w:rsidRPr="005C0466">
        <w:rPr>
          <w:rFonts w:ascii="Arial" w:eastAsia="Times New Roman" w:hAnsi="Arial" w:cs="Arial"/>
          <w:kern w:val="0"/>
          <w:lang w:eastAsia="es-ES_tradnl"/>
        </w:rPr>
        <w:t xml:space="preserve"> corresponde a </w:t>
      </w:r>
      <w:r w:rsidRPr="005C0466">
        <w:rPr>
          <w:rFonts w:ascii="Arial" w:eastAsia="Times New Roman" w:hAnsi="Arial" w:cs="Arial"/>
          <w:kern w:val="0"/>
          <w:lang w:eastAsia="es-ES_tradnl"/>
        </w:rPr>
        <w:t>5</w:t>
      </w:r>
      <w:r w:rsidR="00324C85" w:rsidRPr="005C0466">
        <w:rPr>
          <w:rFonts w:ascii="Arial" w:eastAsia="Times New Roman" w:hAnsi="Arial" w:cs="Arial"/>
          <w:kern w:val="0"/>
          <w:lang w:eastAsia="es-ES_tradnl"/>
        </w:rPr>
        <w:t xml:space="preserve"> sujetos obligados, como se indica a continuación:</w:t>
      </w:r>
    </w:p>
    <w:p w14:paraId="33413E32" w14:textId="77777777" w:rsidR="004F02E8" w:rsidRPr="004F02E8" w:rsidRDefault="004F02E8" w:rsidP="004F02E8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lang w:eastAsia="es-ES_tradnl"/>
        </w:rPr>
      </w:pPr>
    </w:p>
    <w:tbl>
      <w:tblPr>
        <w:tblW w:w="74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3173"/>
      </w:tblGrid>
      <w:tr w:rsidR="00F75FDE" w:rsidRPr="00773D16" w14:paraId="4330CAFA" w14:textId="77777777" w:rsidTr="00814596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13EF0EC2" w14:textId="77777777" w:rsidR="00F75FDE" w:rsidRPr="00773D16" w:rsidRDefault="00F75FDE" w:rsidP="00ED301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773D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Sujeto Obligado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5515DF9F" w14:textId="77777777" w:rsidR="00F75FDE" w:rsidRPr="00773D16" w:rsidRDefault="00F75FDE" w:rsidP="00ED301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773D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Registro de recursos interpuestos (DP)</w:t>
            </w:r>
          </w:p>
        </w:tc>
      </w:tr>
      <w:tr w:rsidR="008324E7" w:rsidRPr="008324E7" w14:paraId="5A44D158" w14:textId="77777777" w:rsidTr="008324E7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841" w14:textId="1129A4D6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Fiscalía General de Justicia de la Ciudad de México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E79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13</w:t>
            </w:r>
          </w:p>
        </w:tc>
      </w:tr>
      <w:tr w:rsidR="008324E7" w:rsidRPr="008324E7" w14:paraId="44C6D35E" w14:textId="77777777" w:rsidTr="008324E7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118F" w14:textId="05A56C8E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Policía Auxiliar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66B3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11</w:t>
            </w:r>
          </w:p>
        </w:tc>
      </w:tr>
      <w:tr w:rsidR="008324E7" w:rsidRPr="008324E7" w14:paraId="700D9805" w14:textId="77777777" w:rsidTr="008324E7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9E2F" w14:textId="364229A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Consejería Jurídica y de Servicios Legales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2D2B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8</w:t>
            </w:r>
          </w:p>
        </w:tc>
      </w:tr>
      <w:tr w:rsidR="008324E7" w:rsidRPr="008324E7" w14:paraId="20B3A03F" w14:textId="77777777" w:rsidTr="008324E7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EA02" w14:textId="2344A9A3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Secretaría de Seguridad Ciudadana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1AC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8</w:t>
            </w:r>
          </w:p>
        </w:tc>
      </w:tr>
      <w:tr w:rsidR="008324E7" w:rsidRPr="008324E7" w14:paraId="5CA15E21" w14:textId="77777777" w:rsidTr="008324E7">
        <w:trPr>
          <w:trHeight w:val="39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5C8" w14:textId="1C2C8E03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Secretaría de la Contraloría General de la Ciudad de México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BC6" w14:textId="77777777" w:rsidR="008324E7" w:rsidRPr="008324E7" w:rsidRDefault="008324E7" w:rsidP="008324E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8324E7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7</w:t>
            </w:r>
          </w:p>
        </w:tc>
      </w:tr>
      <w:tr w:rsidR="004F02E8" w:rsidRPr="00773D16" w14:paraId="542B2514" w14:textId="77777777" w:rsidTr="00814596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A63D" w14:textId="44C34B69" w:rsidR="004F02E8" w:rsidRPr="00773D16" w:rsidRDefault="004F02E8" w:rsidP="004F02E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3E71" w14:textId="69DABBE3" w:rsidR="004F02E8" w:rsidRPr="001F7585" w:rsidRDefault="008324E7" w:rsidP="004F02E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1F7585"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</w:tr>
    </w:tbl>
    <w:p w14:paraId="067BAA15" w14:textId="77777777" w:rsidR="00857B9D" w:rsidRDefault="00857B9D" w:rsidP="00857B9D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1D8660D8" w14:textId="77777777" w:rsidR="004F02E8" w:rsidRDefault="004F02E8" w:rsidP="00857B9D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57B502E6" w14:textId="14AF5BC9" w:rsidR="00F75FDE" w:rsidRPr="004F02E8" w:rsidRDefault="00647343" w:rsidP="004F02E8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rFonts w:ascii="Arial" w:eastAsiaTheme="minorHAnsi" w:hAnsi="Arial" w:cs="Arial"/>
          <w:noProof/>
          <w:kern w:val="0"/>
          <w:sz w:val="14"/>
          <w:szCs w:val="14"/>
          <w:lang w:val="es-ES" w:eastAsia="en-US"/>
        </w:rPr>
        <w:lastRenderedPageBreak/>
        <w:drawing>
          <wp:inline distT="0" distB="0" distL="0" distR="0" wp14:anchorId="5B550B06" wp14:editId="0E837B53">
            <wp:extent cx="5102225" cy="2590800"/>
            <wp:effectExtent l="0" t="0" r="3175" b="0"/>
            <wp:docPr id="107605969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393" cy="2598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679CF" w14:textId="77777777" w:rsidR="00857B9D" w:rsidRPr="00773D16" w:rsidRDefault="00857B9D" w:rsidP="00857B9D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48CF8A2F" w14:textId="77777777" w:rsidR="00B9631F" w:rsidRPr="00773D16" w:rsidRDefault="00B9631F" w:rsidP="00B9631F">
      <w:pPr>
        <w:suppressAutoHyphens w:val="0"/>
        <w:spacing w:after="0" w:line="360" w:lineRule="auto"/>
        <w:contextualSpacing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</w:p>
    <w:p w14:paraId="59B20893" w14:textId="3441510F" w:rsidR="00F75FDE" w:rsidRPr="00460B8B" w:rsidRDefault="00F75FDE" w:rsidP="00F75FDE">
      <w:pPr>
        <w:numPr>
          <w:ilvl w:val="0"/>
          <w:numId w:val="3"/>
        </w:numPr>
        <w:suppressAutoHyphens w:val="0"/>
        <w:spacing w:after="0" w:line="360" w:lineRule="auto"/>
        <w:contextualSpacing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  <w:r w:rsidRPr="00460B8B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>PLENO.</w:t>
      </w:r>
    </w:p>
    <w:p w14:paraId="1DFFE771" w14:textId="77777777" w:rsidR="00F75FDE" w:rsidRPr="00460B8B" w:rsidRDefault="00F75FDE" w:rsidP="00ED3018">
      <w:pPr>
        <w:suppressAutoHyphens w:val="0"/>
        <w:spacing w:after="0" w:line="360" w:lineRule="auto"/>
        <w:contextualSpacing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</w:p>
    <w:p w14:paraId="7D5E8D13" w14:textId="52B5FE66" w:rsidR="00F75FDE" w:rsidRPr="00460B8B" w:rsidRDefault="00F75FDE" w:rsidP="00ED3018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lang w:val="es-ES" w:eastAsia="en-US"/>
        </w:rPr>
      </w:pP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Durante el trimestre que se reporta, el Pleno celebró </w:t>
      </w:r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1</w:t>
      </w:r>
      <w:r w:rsidR="00D36FC9"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3</w:t>
      </w:r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 xml:space="preserve"> Sesiones Ordinarias</w:t>
      </w: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, en las </w:t>
      </w:r>
      <w:r w:rsidR="0030283D" w:rsidRPr="00460B8B">
        <w:rPr>
          <w:rFonts w:ascii="Arial" w:eastAsiaTheme="minorHAnsi" w:hAnsi="Arial" w:cs="Arial"/>
          <w:kern w:val="0"/>
          <w:lang w:val="es-ES" w:eastAsia="en-US"/>
        </w:rPr>
        <w:br/>
      </w: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cuales fueron aprobados </w:t>
      </w:r>
      <w:r w:rsidR="00D36FC9"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46</w:t>
      </w:r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 xml:space="preserve"> Acuerdos</w:t>
      </w: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 y </w:t>
      </w:r>
      <w:r w:rsidR="004A75C9"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2,</w:t>
      </w:r>
      <w:r w:rsidR="00D36FC9"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119</w:t>
      </w:r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 xml:space="preserve"> resoluciones </w:t>
      </w: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a expedientes, </w:t>
      </w:r>
      <w:r w:rsidR="0030283D" w:rsidRPr="00460B8B">
        <w:rPr>
          <w:rFonts w:ascii="Arial" w:eastAsiaTheme="minorHAnsi" w:hAnsi="Arial" w:cs="Arial"/>
          <w:kern w:val="0"/>
          <w:lang w:val="es-ES" w:eastAsia="en-US"/>
        </w:rPr>
        <w:br/>
      </w:r>
      <w:r w:rsidRPr="00460B8B">
        <w:rPr>
          <w:rFonts w:ascii="Arial" w:eastAsiaTheme="minorHAnsi" w:hAnsi="Arial" w:cs="Arial"/>
          <w:kern w:val="0"/>
          <w:lang w:val="es-ES" w:eastAsia="en-US"/>
        </w:rPr>
        <w:t>considerando en esta cifra los recursos de revisión acumulados</w:t>
      </w:r>
      <w:r w:rsidRPr="00460B8B">
        <w:rPr>
          <w:rFonts w:asciiTheme="minorHAnsi" w:eastAsiaTheme="minorHAnsi" w:hAnsiTheme="minorHAnsi" w:cstheme="minorBidi"/>
          <w:kern w:val="0"/>
          <w:lang w:val="es-ES" w:eastAsia="en-US"/>
        </w:rPr>
        <w:t xml:space="preserve"> </w:t>
      </w:r>
      <w:r w:rsidRPr="00460B8B">
        <w:rPr>
          <w:rFonts w:ascii="Arial" w:eastAsiaTheme="minorHAnsi" w:hAnsi="Arial" w:cs="Arial"/>
          <w:kern w:val="0"/>
          <w:lang w:val="es-ES" w:eastAsia="en-US"/>
        </w:rPr>
        <w:t>y resoluciones en cumplimiento a Juicios de Amparo y Recursos de Inconformidad.</w:t>
      </w:r>
    </w:p>
    <w:p w14:paraId="2F57067E" w14:textId="77777777" w:rsidR="00F75FDE" w:rsidRPr="00460B8B" w:rsidRDefault="00F75FDE" w:rsidP="00ED3018">
      <w:pPr>
        <w:tabs>
          <w:tab w:val="left" w:pos="426"/>
        </w:tabs>
        <w:suppressAutoHyphens w:val="0"/>
        <w:spacing w:after="0" w:line="360" w:lineRule="auto"/>
        <w:contextualSpacing/>
        <w:rPr>
          <w:rFonts w:ascii="Arial" w:eastAsiaTheme="minorHAnsi" w:hAnsi="Arial" w:cs="Arial"/>
          <w:b/>
          <w:bCs/>
          <w:kern w:val="0"/>
          <w:lang w:val="es-ES" w:eastAsia="en-US"/>
        </w:rPr>
      </w:pPr>
    </w:p>
    <w:p w14:paraId="38A0DB87" w14:textId="6F655BCD" w:rsidR="00F75FDE" w:rsidRPr="00460B8B" w:rsidRDefault="00F75FDE" w:rsidP="00ED3018">
      <w:pPr>
        <w:tabs>
          <w:tab w:val="left" w:pos="426"/>
        </w:tabs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</w:pPr>
      <w:r w:rsidRPr="00460B8B">
        <w:rPr>
          <w:rFonts w:ascii="Arial" w:eastAsiaTheme="minorHAnsi" w:hAnsi="Arial" w:cs="Arial"/>
          <w:kern w:val="0"/>
          <w:lang w:val="es-ES" w:eastAsia="en-US" w:bidi="hi-IN"/>
        </w:rPr>
        <w:t xml:space="preserve">Es decir, el Pleno del Instituto </w:t>
      </w:r>
      <w:r w:rsidRPr="00460B8B">
        <w:rPr>
          <w:rFonts w:ascii="Arial" w:eastAsiaTheme="minorHAnsi" w:hAnsi="Arial" w:cs="Arial"/>
          <w:b/>
          <w:bCs/>
          <w:kern w:val="0"/>
          <w:lang w:val="es-ES" w:eastAsia="en-US" w:bidi="hi-IN"/>
        </w:rPr>
        <w:t xml:space="preserve">aprobó </w:t>
      </w:r>
      <w:r w:rsidR="004A75C9" w:rsidRPr="00460B8B">
        <w:rPr>
          <w:rFonts w:ascii="Arial" w:eastAsiaTheme="minorHAnsi" w:hAnsi="Arial" w:cs="Arial"/>
          <w:b/>
          <w:bCs/>
          <w:kern w:val="0"/>
          <w:lang w:val="es-ES" w:eastAsia="en-US" w:bidi="hi-IN"/>
        </w:rPr>
        <w:t>2,</w:t>
      </w:r>
      <w:r w:rsidR="00D36FC9" w:rsidRPr="00460B8B">
        <w:rPr>
          <w:rFonts w:ascii="Arial" w:eastAsiaTheme="minorHAnsi" w:hAnsi="Arial" w:cs="Arial"/>
          <w:b/>
          <w:bCs/>
          <w:kern w:val="0"/>
          <w:lang w:val="es-ES" w:eastAsia="en-US" w:bidi="hi-IN"/>
        </w:rPr>
        <w:t>119</w:t>
      </w:r>
      <w:r w:rsidRPr="00460B8B">
        <w:rPr>
          <w:rFonts w:ascii="Arial" w:eastAsiaTheme="minorHAnsi" w:hAnsi="Arial" w:cs="Arial"/>
          <w:kern w:val="0"/>
          <w:lang w:val="es-ES" w:eastAsia="en-US" w:bidi="hi-IN"/>
        </w:rPr>
        <w:t xml:space="preserve"> recursos de revisión y denuncias, de las </w:t>
      </w:r>
      <w:r w:rsidR="0030283D" w:rsidRPr="00460B8B">
        <w:rPr>
          <w:rFonts w:ascii="Arial" w:eastAsiaTheme="minorHAnsi" w:hAnsi="Arial" w:cs="Arial"/>
          <w:kern w:val="0"/>
          <w:lang w:val="es-ES" w:eastAsia="en-US" w:bidi="hi-IN"/>
        </w:rPr>
        <w:br/>
      </w:r>
      <w:r w:rsidRPr="00460B8B">
        <w:rPr>
          <w:rFonts w:ascii="Arial" w:eastAsiaTheme="minorHAnsi" w:hAnsi="Arial" w:cs="Arial"/>
          <w:kern w:val="0"/>
          <w:lang w:val="es-ES" w:eastAsia="en-US" w:bidi="hi-IN"/>
        </w:rPr>
        <w:t xml:space="preserve">cuales </w:t>
      </w:r>
      <w:r w:rsidR="00D36FC9" w:rsidRPr="00460B8B">
        <w:rPr>
          <w:rFonts w:ascii="Arial" w:eastAsiaTheme="minorHAnsi" w:hAnsi="Arial" w:cs="Arial"/>
          <w:b/>
          <w:bCs/>
          <w:kern w:val="0"/>
          <w:lang w:val="es-ES" w:eastAsia="en-US" w:bidi="hi-IN"/>
        </w:rPr>
        <w:t>225</w:t>
      </w:r>
      <w:r w:rsidRPr="00460B8B">
        <w:rPr>
          <w:rFonts w:ascii="Arial" w:eastAsiaTheme="minorHAnsi" w:hAnsi="Arial" w:cs="Arial"/>
          <w:kern w:val="0"/>
          <w:lang w:val="es-ES" w:eastAsia="en-US" w:bidi="hi-IN"/>
        </w:rPr>
        <w:t xml:space="preserve"> de estas se encuentran acumuladas a diversos expedientes, </w:t>
      </w:r>
      <w:r w:rsidRPr="00460B8B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 xml:space="preserve">como se </w:t>
      </w:r>
      <w:r w:rsidR="0030283D" w:rsidRPr="00460B8B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br/>
      </w:r>
      <w:r w:rsidRPr="00460B8B">
        <w:rPr>
          <w:rFonts w:ascii="Arial" w:eastAsiaTheme="minorHAnsi" w:hAnsi="Arial" w:cs="Arial"/>
          <w:color w:val="000000"/>
          <w:kern w:val="0"/>
          <w:shd w:val="clear" w:color="auto" w:fill="FFFFFF"/>
          <w:lang w:val="es-ES" w:eastAsia="en-US"/>
        </w:rPr>
        <w:t>muestra a continuación:</w:t>
      </w:r>
    </w:p>
    <w:p w14:paraId="5736BCAC" w14:textId="77777777" w:rsidR="005A1664" w:rsidRPr="00460B8B" w:rsidRDefault="005A1664" w:rsidP="00F75FDE">
      <w:pPr>
        <w:tabs>
          <w:tab w:val="left" w:pos="426"/>
        </w:tabs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/>
          <w:kern w:val="0"/>
          <w:sz w:val="24"/>
          <w:szCs w:val="24"/>
          <w:shd w:val="clear" w:color="auto" w:fill="FFFFFF"/>
          <w:lang w:val="es-ES" w:eastAsia="en-US"/>
        </w:rPr>
      </w:pPr>
    </w:p>
    <w:tbl>
      <w:tblPr>
        <w:tblW w:w="6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1180"/>
        <w:gridCol w:w="1164"/>
        <w:gridCol w:w="1173"/>
      </w:tblGrid>
      <w:tr w:rsidR="00D36FC9" w:rsidRPr="00460B8B" w14:paraId="18FE91DB" w14:textId="77777777" w:rsidTr="00D36FC9">
        <w:trPr>
          <w:trHeight w:val="450"/>
          <w:jc w:val="center"/>
        </w:trPr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2C85BAF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Recursos de Revisión aprobados por el Pleno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B7209EA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Denuncias aprobadas por el Pleno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0F31878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Total</w:t>
            </w:r>
          </w:p>
        </w:tc>
      </w:tr>
      <w:tr w:rsidR="00D36FC9" w:rsidRPr="00460B8B" w14:paraId="70E8B41D" w14:textId="77777777" w:rsidTr="00D36FC9">
        <w:trPr>
          <w:trHeight w:val="450"/>
          <w:jc w:val="center"/>
        </w:trPr>
        <w:tc>
          <w:tcPr>
            <w:tcW w:w="2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455D" w14:textId="77777777" w:rsidR="00D36FC9" w:rsidRPr="00460B8B" w:rsidRDefault="00D36FC9" w:rsidP="008E7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F392" w14:textId="77777777" w:rsidR="00D36FC9" w:rsidRPr="00460B8B" w:rsidRDefault="00D36FC9" w:rsidP="008E7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32BB" w14:textId="77777777" w:rsidR="00D36FC9" w:rsidRPr="00460B8B" w:rsidRDefault="00D36FC9" w:rsidP="008E7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D36FC9" w:rsidRPr="00460B8B" w14:paraId="660FC635" w14:textId="77777777" w:rsidTr="00D36FC9">
        <w:trPr>
          <w:trHeight w:val="56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A52BB17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IP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2E03341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DP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2E1B0C8C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DLT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5EBD18B8" w14:textId="77777777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MX"/>
              </w:rPr>
              <w:t>D</w:t>
            </w: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A3E16" w14:textId="77777777" w:rsidR="00D36FC9" w:rsidRPr="00460B8B" w:rsidRDefault="00D36FC9" w:rsidP="008E776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s-MX"/>
              </w:rPr>
            </w:pPr>
          </w:p>
        </w:tc>
      </w:tr>
      <w:tr w:rsidR="00D36FC9" w:rsidRPr="00460B8B" w14:paraId="2C8EEB4A" w14:textId="77777777" w:rsidTr="00D36FC9">
        <w:trPr>
          <w:trHeight w:val="567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FC3" w14:textId="675B6FEF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ES" w:eastAsia="es-MX"/>
              </w:rPr>
              <w:t>1,761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DCA9" w14:textId="12EF4E5F" w:rsidR="00D36FC9" w:rsidRPr="00460B8B" w:rsidRDefault="00A81C01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084D" w14:textId="77F77324" w:rsidR="00D36FC9" w:rsidRPr="00460B8B" w:rsidRDefault="00A81C01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1B3" w14:textId="7D10A168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2DB1" w14:textId="4646EEA8" w:rsidR="00D36FC9" w:rsidRPr="00460B8B" w:rsidRDefault="00D36FC9" w:rsidP="008E776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</w:rPr>
            </w:pPr>
            <w:r w:rsidRPr="00460B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MX"/>
              </w:rPr>
              <w:t>2,119</w:t>
            </w:r>
          </w:p>
        </w:tc>
      </w:tr>
    </w:tbl>
    <w:p w14:paraId="7A4D7CFE" w14:textId="5BB09B69" w:rsidR="00857B9D" w:rsidRPr="00460B8B" w:rsidRDefault="00857B9D" w:rsidP="001604E1">
      <w:pPr>
        <w:suppressAutoHyphens w:val="0"/>
        <w:ind w:left="1418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460B8B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</w:t>
      </w:r>
    </w:p>
    <w:p w14:paraId="6BE14190" w14:textId="77777777" w:rsidR="00F75FDE" w:rsidRPr="00460B8B" w:rsidRDefault="00F75FDE" w:rsidP="00F75FDE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  <w:r w:rsidRPr="00460B8B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lastRenderedPageBreak/>
        <w:t>SENTIDO DE LAS RESOLUCIONES EMITIDAS POR EL INSTITUTO A LOS RECURSOS DE REVISIÓN.</w:t>
      </w:r>
    </w:p>
    <w:p w14:paraId="3B9D1C76" w14:textId="77777777" w:rsidR="00F75FDE" w:rsidRPr="00460B8B" w:rsidRDefault="00F75FDE" w:rsidP="00F75FDE">
      <w:pPr>
        <w:suppressAutoHyphens w:val="0"/>
        <w:spacing w:after="0" w:line="360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</w:p>
    <w:p w14:paraId="1559AB1E" w14:textId="1E7FCA00" w:rsidR="00F75FDE" w:rsidRPr="00460B8B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lang w:val="es-ES" w:eastAsia="en-US"/>
        </w:rPr>
      </w:pPr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Una de las funciones sustantivas del Instituto para garantizar los derechos de la </w:t>
      </w:r>
      <w:r w:rsidR="0030283D" w:rsidRPr="00460B8B">
        <w:rPr>
          <w:rFonts w:ascii="Arial" w:eastAsiaTheme="minorHAnsi" w:hAnsi="Arial" w:cs="Arial"/>
          <w:kern w:val="0"/>
          <w:lang w:val="es-ES" w:eastAsia="en-US"/>
        </w:rPr>
        <w:br/>
      </w:r>
      <w:r w:rsidRPr="00460B8B">
        <w:rPr>
          <w:rFonts w:ascii="Arial" w:eastAsiaTheme="minorHAnsi" w:hAnsi="Arial" w:cs="Arial"/>
          <w:kern w:val="0"/>
          <w:lang w:val="es-ES" w:eastAsia="en-US"/>
        </w:rPr>
        <w:t>ciudadanía, consiste en resolver los recursos de revisión; la resolución es la determinación que emite el Pleno previo estudio y análisis a un recurso de revisión.</w:t>
      </w:r>
    </w:p>
    <w:p w14:paraId="2C0665FB" w14:textId="77777777" w:rsidR="00F75FDE" w:rsidRPr="00460B8B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</w:p>
    <w:p w14:paraId="0C831DFC" w14:textId="20B47A0D" w:rsidR="00F75FDE" w:rsidRPr="00460B8B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De acuerdo con lo establecido en la Ley de Transparencia, Acceso a la Información </w:t>
      </w:r>
      <w:r w:rsidR="00460B8B">
        <w:rPr>
          <w:rFonts w:ascii="Arial" w:eastAsiaTheme="minorHAnsi" w:hAnsi="Arial" w:cs="Arial"/>
          <w:bCs/>
          <w:kern w:val="0"/>
          <w:lang w:val="es-ES" w:eastAsia="en-US"/>
        </w:rPr>
        <w:br/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Pública y Rendición de Cuentas de la Ciudad de México, las resoluciones pueden tener </w:t>
      </w:r>
      <w:r w:rsidR="00460B8B">
        <w:rPr>
          <w:rFonts w:ascii="Arial" w:eastAsiaTheme="minorHAnsi" w:hAnsi="Arial" w:cs="Arial"/>
          <w:bCs/>
          <w:kern w:val="0"/>
          <w:lang w:val="es-ES" w:eastAsia="en-US"/>
        </w:rPr>
        <w:br/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>los siguientes sentidos:</w:t>
      </w:r>
    </w:p>
    <w:p w14:paraId="1D22112F" w14:textId="77777777" w:rsidR="00F75FDE" w:rsidRPr="00460B8B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</w:p>
    <w:p w14:paraId="3EF9FA3C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  <w:proofErr w:type="gramStart"/>
      <w:r w:rsidRPr="00460B8B">
        <w:rPr>
          <w:rFonts w:ascii="Arial" w:eastAsiaTheme="minorHAnsi" w:hAnsi="Arial" w:cs="Arial"/>
          <w:b/>
          <w:kern w:val="0"/>
          <w:lang w:val="es-ES" w:eastAsia="en-US"/>
        </w:rPr>
        <w:t>Desechar</w:t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>.-</w:t>
      </w:r>
      <w:proofErr w:type="gramEnd"/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 El asunto no puede ser analizado a fondo, por la falta de algún requisito previsto en la LTAIPRC, por lo que se da por concluido.</w:t>
      </w:r>
    </w:p>
    <w:p w14:paraId="1701B88D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  <w:proofErr w:type="gramStart"/>
      <w:r w:rsidRPr="00460B8B">
        <w:rPr>
          <w:rFonts w:ascii="Arial" w:eastAsiaTheme="minorHAnsi" w:hAnsi="Arial" w:cs="Arial"/>
          <w:b/>
          <w:kern w:val="0"/>
          <w:lang w:val="es-ES" w:eastAsia="en-US"/>
        </w:rPr>
        <w:t>Sobreseer</w:t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>.-</w:t>
      </w:r>
      <w:proofErr w:type="gramEnd"/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 Los motivos de inconformidad del particular contenidos en el recurso de revisión han sido atendidos por el Sujeto Obligado y/o el recurrente está conforme con la respuesta.</w:t>
      </w:r>
    </w:p>
    <w:p w14:paraId="3811AA27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  <w:proofErr w:type="gramStart"/>
      <w:r w:rsidRPr="00460B8B">
        <w:rPr>
          <w:rFonts w:ascii="Arial" w:eastAsiaTheme="minorHAnsi" w:hAnsi="Arial" w:cs="Arial"/>
          <w:b/>
          <w:kern w:val="0"/>
          <w:lang w:val="es-ES" w:eastAsia="en-US"/>
        </w:rPr>
        <w:t>Confirmar.</w:t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>-</w:t>
      </w:r>
      <w:proofErr w:type="gramEnd"/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 Al analizar el asunto de fondo, se verificó que el Sujeto Obligado atendió en tiempo y forma la solicitud de información del particular.</w:t>
      </w:r>
    </w:p>
    <w:p w14:paraId="18B96519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kern w:val="0"/>
          <w:lang w:val="es-ES" w:eastAsia="en-US"/>
        </w:rPr>
      </w:pPr>
      <w:proofErr w:type="gramStart"/>
      <w:r w:rsidRPr="00460B8B">
        <w:rPr>
          <w:rFonts w:ascii="Arial" w:eastAsiaTheme="minorHAnsi" w:hAnsi="Arial" w:cs="Arial"/>
          <w:b/>
          <w:kern w:val="0"/>
          <w:lang w:val="es-ES" w:eastAsia="en-US"/>
        </w:rPr>
        <w:t>Modificar</w:t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>.-</w:t>
      </w:r>
      <w:proofErr w:type="gramEnd"/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 Al analizar los motivos de inconformidad se observó que el Sujeto Obligado no atendió en su integridad lo solicitado, por lo que deberá complementar la información que dio inicialmente al particular.</w:t>
      </w:r>
    </w:p>
    <w:p w14:paraId="1B683C23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lang w:val="es-ES" w:eastAsia="en-US"/>
        </w:rPr>
      </w:pPr>
      <w:proofErr w:type="gramStart"/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Revocar.</w:t>
      </w:r>
      <w:r w:rsidRPr="00460B8B">
        <w:rPr>
          <w:rFonts w:ascii="Arial" w:eastAsiaTheme="minorHAnsi" w:hAnsi="Arial" w:cs="Arial"/>
          <w:kern w:val="0"/>
          <w:lang w:val="es-ES" w:eastAsia="en-US"/>
        </w:rPr>
        <w:t>-</w:t>
      </w:r>
      <w:proofErr w:type="gramEnd"/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 </w:t>
      </w:r>
      <w:r w:rsidRPr="00460B8B">
        <w:rPr>
          <w:rFonts w:ascii="Arial" w:eastAsiaTheme="minorHAnsi" w:hAnsi="Arial" w:cs="Arial"/>
          <w:bCs/>
          <w:kern w:val="0"/>
          <w:lang w:val="es-ES" w:eastAsia="en-US"/>
        </w:rPr>
        <w:t xml:space="preserve">Al analizar los motivos de inconformidad se </w:t>
      </w:r>
      <w:r w:rsidRPr="00460B8B">
        <w:rPr>
          <w:rFonts w:ascii="Arial" w:eastAsiaTheme="minorHAnsi" w:hAnsi="Arial" w:cs="Arial"/>
          <w:kern w:val="0"/>
          <w:lang w:val="es-ES" w:eastAsia="en-US"/>
        </w:rPr>
        <w:t>encontró que el Sujeto Obligado no atendió lo solicitado por el particular, por lo que deberá entregar la información que corresponde al ámbito de su competencia.</w:t>
      </w:r>
    </w:p>
    <w:p w14:paraId="08D7CC35" w14:textId="77777777" w:rsidR="00F75FDE" w:rsidRPr="00460B8B" w:rsidRDefault="00F75FDE" w:rsidP="00F75FDE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ascii="Arial" w:eastAsia="Arial" w:hAnsi="Arial" w:cs="Arial"/>
          <w:b/>
          <w:bCs/>
          <w:kern w:val="0"/>
          <w:lang w:val="es" w:eastAsia="en-US"/>
        </w:rPr>
      </w:pPr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 xml:space="preserve">Ordenar que se atienda la </w:t>
      </w:r>
      <w:proofErr w:type="gramStart"/>
      <w:r w:rsidRPr="00460B8B">
        <w:rPr>
          <w:rFonts w:ascii="Arial" w:eastAsiaTheme="minorHAnsi" w:hAnsi="Arial" w:cs="Arial"/>
          <w:b/>
          <w:bCs/>
          <w:kern w:val="0"/>
          <w:lang w:val="es-ES" w:eastAsia="en-US"/>
        </w:rPr>
        <w:t>solicitud.</w:t>
      </w:r>
      <w:r w:rsidRPr="00460B8B">
        <w:rPr>
          <w:rFonts w:ascii="Arial" w:eastAsiaTheme="minorHAnsi" w:hAnsi="Arial" w:cs="Arial"/>
          <w:kern w:val="0"/>
          <w:lang w:val="es-ES" w:eastAsia="en-US"/>
        </w:rPr>
        <w:t>-</w:t>
      </w:r>
      <w:proofErr w:type="gramEnd"/>
      <w:r w:rsidRPr="00460B8B">
        <w:rPr>
          <w:rFonts w:ascii="Arial" w:eastAsiaTheme="minorHAnsi" w:hAnsi="Arial" w:cs="Arial"/>
          <w:kern w:val="0"/>
          <w:lang w:val="es-ES" w:eastAsia="en-US"/>
        </w:rPr>
        <w:t xml:space="preserve"> El Sujeto Obligado fue omiso en atender en tiempo y forma la solicitud de información del particular, por lo que deberá emitir respuesta a la brevedad.</w:t>
      </w:r>
    </w:p>
    <w:p w14:paraId="59C1B74A" w14:textId="77777777" w:rsidR="00F75FDE" w:rsidRPr="00460B8B" w:rsidRDefault="00F75FDE" w:rsidP="00F75FDE">
      <w:pPr>
        <w:suppressAutoHyphens w:val="0"/>
        <w:rPr>
          <w:rFonts w:asciiTheme="minorHAnsi" w:eastAsiaTheme="minorHAnsi" w:hAnsiTheme="minorHAnsi" w:cstheme="minorBidi"/>
          <w:kern w:val="0"/>
          <w:lang w:val="es-ES" w:eastAsia="en-US"/>
        </w:rPr>
      </w:pPr>
    </w:p>
    <w:p w14:paraId="77A167E6" w14:textId="1EFE9768" w:rsidR="00F75FDE" w:rsidRPr="00773D16" w:rsidRDefault="00F75FDE" w:rsidP="00F75FDE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lang w:val="es-ES" w:eastAsia="es-MX"/>
        </w:rPr>
      </w:pPr>
      <w:r w:rsidRPr="00460B8B">
        <w:rPr>
          <w:rFonts w:ascii="Arial" w:eastAsia="Times New Roman" w:hAnsi="Arial" w:cs="Arial"/>
          <w:kern w:val="0"/>
          <w:lang w:val="es-ES" w:eastAsia="es-MX"/>
        </w:rPr>
        <w:t xml:space="preserve">En relación con lo anterior, durante el </w:t>
      </w:r>
      <w:r w:rsidR="00460B8B">
        <w:rPr>
          <w:rFonts w:ascii="Arial" w:eastAsia="Times New Roman" w:hAnsi="Arial" w:cs="Arial"/>
          <w:kern w:val="0"/>
          <w:lang w:val="es-ES" w:eastAsia="es-MX"/>
        </w:rPr>
        <w:t>segundo</w:t>
      </w:r>
      <w:r w:rsidRPr="00460B8B">
        <w:rPr>
          <w:rFonts w:ascii="Arial" w:eastAsia="Times New Roman" w:hAnsi="Arial" w:cs="Arial"/>
          <w:kern w:val="0"/>
          <w:lang w:val="es-ES" w:eastAsia="es-MX"/>
        </w:rPr>
        <w:t xml:space="preserve"> trimestre del 202</w:t>
      </w:r>
      <w:r w:rsidR="004A75C9" w:rsidRPr="00460B8B">
        <w:rPr>
          <w:rFonts w:ascii="Arial" w:eastAsia="Times New Roman" w:hAnsi="Arial" w:cs="Arial"/>
          <w:kern w:val="0"/>
          <w:lang w:val="es-ES" w:eastAsia="es-MX"/>
        </w:rPr>
        <w:t>4</w:t>
      </w:r>
      <w:r w:rsidRPr="00460B8B">
        <w:rPr>
          <w:rFonts w:ascii="Arial" w:eastAsia="Times New Roman" w:hAnsi="Arial" w:cs="Arial"/>
          <w:kern w:val="0"/>
          <w:lang w:val="es-ES" w:eastAsia="es-MX"/>
        </w:rPr>
        <w:t xml:space="preserve">, se presentó la </w:t>
      </w:r>
      <w:r w:rsidR="00460B8B">
        <w:rPr>
          <w:rFonts w:ascii="Arial" w:eastAsia="Times New Roman" w:hAnsi="Arial" w:cs="Arial"/>
          <w:kern w:val="0"/>
          <w:lang w:val="es-ES" w:eastAsia="es-MX"/>
        </w:rPr>
        <w:br/>
      </w:r>
      <w:r w:rsidRPr="00460B8B">
        <w:rPr>
          <w:rFonts w:ascii="Arial" w:eastAsia="Times New Roman" w:hAnsi="Arial" w:cs="Arial"/>
          <w:kern w:val="0"/>
          <w:lang w:val="es-ES" w:eastAsia="es-MX"/>
        </w:rPr>
        <w:t>siguiente distribución por sentido:</w:t>
      </w:r>
    </w:p>
    <w:p w14:paraId="061BD07A" w14:textId="77777777" w:rsidR="00F75FDE" w:rsidRPr="00773D16" w:rsidRDefault="00F75FDE" w:rsidP="00F75FDE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MX"/>
        </w:rPr>
      </w:pPr>
      <w:bookmarkStart w:id="2" w:name="OLE_LINK3"/>
      <w:bookmarkStart w:id="3" w:name="OLE_LINK4"/>
    </w:p>
    <w:tbl>
      <w:tblPr>
        <w:tblW w:w="751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843"/>
      </w:tblGrid>
      <w:tr w:rsidR="00F75FDE" w:rsidRPr="00460B8B" w14:paraId="15C6C3BF" w14:textId="77777777" w:rsidTr="00105295">
        <w:trPr>
          <w:trHeight w:val="1042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4199DC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"/>
              </w:rPr>
            </w:pPr>
            <w:r w:rsidRPr="00460B8B">
              <w:rPr>
                <w:rFonts w:ascii="Arial" w:eastAsia="Times New Roman" w:hAnsi="Arial" w:cs="Arial"/>
                <w:color w:val="000000" w:themeColor="text1"/>
                <w:kern w:val="0"/>
                <w:lang w:val="es-ES" w:eastAsia="es-ES"/>
              </w:rPr>
              <w:lastRenderedPageBreak/>
              <w:t xml:space="preserve">SENTIDO DE LAS RESOLUCIONES A RECURSOS DE REVISIÓN APROBADAS POR EL PLENO EN MATERIA DE ACCESO A LA INFORMACIÓN PÚBLICA </w:t>
            </w:r>
          </w:p>
        </w:tc>
      </w:tr>
      <w:tr w:rsidR="00F75FDE" w:rsidRPr="00460B8B" w14:paraId="659C22D8" w14:textId="77777777" w:rsidTr="00105295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055031F5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 xml:space="preserve">No.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709946FD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Sentido de la resolución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43454096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# Registros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52CB8AE4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%</w:t>
            </w:r>
          </w:p>
        </w:tc>
      </w:tr>
      <w:tr w:rsidR="00F75FDE" w:rsidRPr="00460B8B" w14:paraId="622C0115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A664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FB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9A9A" w14:textId="09BAE2BF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</w:t>
            </w:r>
            <w:r w:rsidR="004A3028"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</w:t>
            </w:r>
            <w:r w:rsidR="0030283D"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57C" w14:textId="55C1016D" w:rsidR="00F75FDE" w:rsidRPr="00460B8B" w:rsidRDefault="00460B8B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7.0</w:t>
            </w:r>
          </w:p>
        </w:tc>
      </w:tr>
      <w:tr w:rsidR="00F75FDE" w:rsidRPr="00460B8B" w14:paraId="25B0BCA9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7711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B5B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Desechar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647" w14:textId="6A3CC7EF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1EE" w14:textId="5AF8765C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19</w:t>
            </w:r>
          </w:p>
        </w:tc>
      </w:tr>
      <w:tr w:rsidR="00F75FDE" w:rsidRPr="00460B8B" w14:paraId="0B9427EA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7E3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6CB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Modificar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96F4" w14:textId="112B1739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D632" w14:textId="54F6D15E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26.6</w:t>
            </w:r>
          </w:p>
        </w:tc>
      </w:tr>
      <w:tr w:rsidR="00F75FDE" w:rsidRPr="00460B8B" w14:paraId="3005354F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74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C45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Ordenar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5DC" w14:textId="06BD0DD7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5E1C" w14:textId="5839C561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4.4</w:t>
            </w:r>
          </w:p>
        </w:tc>
      </w:tr>
      <w:tr w:rsidR="00F75FDE" w:rsidRPr="00460B8B" w14:paraId="5582F5AA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E912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3B6B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Revocar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5695" w14:textId="5F99A36E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5C63" w14:textId="6EF6CD1A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2</w:t>
            </w:r>
            <w:r w:rsidR="004A3028"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0</w:t>
            </w:r>
            <w:r w:rsidR="0030283D"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.1</w:t>
            </w:r>
          </w:p>
        </w:tc>
      </w:tr>
      <w:tr w:rsidR="00F75FDE" w:rsidRPr="00460B8B" w14:paraId="10D8F37E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6156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ED45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Sobreseer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3F6A" w14:textId="02D25DAF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AD0F" w14:textId="242F9DFA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22.9</w:t>
            </w:r>
          </w:p>
        </w:tc>
      </w:tr>
      <w:tr w:rsidR="00F75FDE" w:rsidRPr="00460B8B" w14:paraId="733E38E2" w14:textId="77777777" w:rsidTr="00335F73">
        <w:trPr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01D07C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093A" w14:textId="482FA2C8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1,</w:t>
            </w:r>
            <w:r w:rsidR="0030283D"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761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A5E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100</w:t>
            </w:r>
          </w:p>
        </w:tc>
      </w:tr>
    </w:tbl>
    <w:p w14:paraId="351933E8" w14:textId="77777777" w:rsidR="00F75FDE" w:rsidRDefault="00F75FDE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bookmarkStart w:id="4" w:name="_Hlk124858349"/>
      <w:r w:rsidRPr="00460B8B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6C71EEA3" w14:textId="77777777" w:rsidR="004A3028" w:rsidRDefault="004A3028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bookmarkEnd w:id="4"/>
    <w:p w14:paraId="1E326A04" w14:textId="51A21FA8" w:rsidR="004A3028" w:rsidRDefault="00460B8B" w:rsidP="004A3028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noProof/>
        </w:rPr>
        <w:drawing>
          <wp:inline distT="0" distB="0" distL="0" distR="0" wp14:anchorId="53A54BE4" wp14:editId="7CC415B1">
            <wp:extent cx="4756150" cy="3270250"/>
            <wp:effectExtent l="0" t="0" r="6350" b="6350"/>
            <wp:docPr id="15354073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B5D7AB3-BE9F-5985-FB4D-72F6DA13D2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BCFF55" w14:textId="078751F2" w:rsidR="00F75FDE" w:rsidRPr="00460B8B" w:rsidRDefault="00F75FDE" w:rsidP="00D63F56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460B8B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  <w:bookmarkEnd w:id="2"/>
      <w:bookmarkEnd w:id="3"/>
    </w:p>
    <w:tbl>
      <w:tblPr>
        <w:tblW w:w="751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843"/>
      </w:tblGrid>
      <w:tr w:rsidR="00F75FDE" w:rsidRPr="00460B8B" w14:paraId="4A7FBD27" w14:textId="77777777" w:rsidTr="00105295">
        <w:trPr>
          <w:trHeight w:val="1042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3C9C1288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"/>
              </w:rPr>
            </w:pPr>
            <w:r w:rsidRPr="00460B8B">
              <w:rPr>
                <w:rFonts w:ascii="Arial" w:eastAsia="Times New Roman" w:hAnsi="Arial" w:cs="Arial"/>
                <w:color w:val="000000" w:themeColor="text1"/>
                <w:kern w:val="0"/>
                <w:lang w:val="es-ES" w:eastAsia="es-ES"/>
              </w:rPr>
              <w:lastRenderedPageBreak/>
              <w:t>SENTIDO DE LAS RESOLUCIONES A RECURSOS DE REVISIÓN APROBADAS POR EL PLENO EN MATERIA DE PROTECCIÓN DE DATOS PERSONALES</w:t>
            </w:r>
          </w:p>
        </w:tc>
      </w:tr>
      <w:tr w:rsidR="00F75FDE" w:rsidRPr="00460B8B" w14:paraId="2F2D9A6F" w14:textId="77777777" w:rsidTr="00105295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2188618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 xml:space="preserve">No.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812422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Sentido de la resolución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3F8077EF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# Registros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3E85D448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%</w:t>
            </w:r>
          </w:p>
        </w:tc>
      </w:tr>
      <w:tr w:rsidR="00F75FDE" w:rsidRPr="00460B8B" w14:paraId="500751E2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6AB8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D8E0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Confirmar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6E2" w14:textId="55008665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C92B" w14:textId="4E8C7417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5.7</w:t>
            </w:r>
          </w:p>
        </w:tc>
      </w:tr>
      <w:tr w:rsidR="00F75FDE" w:rsidRPr="00460B8B" w14:paraId="59031178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E15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B373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Desechar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F1C2" w14:textId="7F191835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750C" w14:textId="03C83E44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15.6</w:t>
            </w:r>
          </w:p>
        </w:tc>
      </w:tr>
      <w:tr w:rsidR="00F75FDE" w:rsidRPr="00460B8B" w14:paraId="29E2E85B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06B4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69F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Modificar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CCC" w14:textId="53B46344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B53" w14:textId="332266C4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13.1</w:t>
            </w:r>
          </w:p>
        </w:tc>
      </w:tr>
      <w:tr w:rsidR="00F75FDE" w:rsidRPr="00460B8B" w14:paraId="281977A5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AAE7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0A1A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Ordenar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6B67" w14:textId="22F1096F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932" w14:textId="5F14896E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1.7</w:t>
            </w:r>
          </w:p>
        </w:tc>
      </w:tr>
      <w:tr w:rsidR="00F75FDE" w:rsidRPr="00460B8B" w14:paraId="17A0218A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EAB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9C23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Revocar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A17D" w14:textId="09FCE89D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09C7" w14:textId="4BF57BAF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45.1</w:t>
            </w:r>
          </w:p>
        </w:tc>
      </w:tr>
      <w:tr w:rsidR="00F75FDE" w:rsidRPr="00460B8B" w14:paraId="714CD669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638D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FCF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Sobreseer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4E24" w14:textId="304B724A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A207" w14:textId="705FA2CF" w:rsidR="00F75FDE" w:rsidRPr="00460B8B" w:rsidRDefault="00E84AF9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18.8</w:t>
            </w:r>
          </w:p>
        </w:tc>
      </w:tr>
      <w:tr w:rsidR="00F75FDE" w:rsidRPr="00460B8B" w14:paraId="0B5C2332" w14:textId="77777777" w:rsidTr="00335F73">
        <w:trPr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CA5B41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8FAD" w14:textId="1F34608F" w:rsidR="00F75FDE" w:rsidRPr="00460B8B" w:rsidRDefault="0030283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A920" w14:textId="77777777" w:rsidR="00F75FDE" w:rsidRPr="00460B8B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</w:pPr>
            <w:r w:rsidRPr="00460B8B">
              <w:rPr>
                <w:rFonts w:ascii="Arial" w:eastAsia="Times New Roman" w:hAnsi="Arial" w:cs="Arial"/>
                <w:color w:val="000000"/>
                <w:kern w:val="0"/>
                <w:lang w:val="es-ES" w:eastAsia="es-ES_tradnl"/>
              </w:rPr>
              <w:t>100</w:t>
            </w:r>
          </w:p>
        </w:tc>
      </w:tr>
    </w:tbl>
    <w:p w14:paraId="68BEDE4C" w14:textId="77777777" w:rsidR="00F75FDE" w:rsidRDefault="00F75FDE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460B8B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6AA5859C" w14:textId="77777777" w:rsidR="00D63F56" w:rsidRDefault="00D63F56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59E134BA" w14:textId="1EBDAD53" w:rsidR="00F75FDE" w:rsidRPr="00D63F56" w:rsidRDefault="00460B8B" w:rsidP="00D63F56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noProof/>
        </w:rPr>
        <w:drawing>
          <wp:inline distT="0" distB="0" distL="0" distR="0" wp14:anchorId="6DAF0A1D" wp14:editId="6EE45C29">
            <wp:extent cx="4781550" cy="3346450"/>
            <wp:effectExtent l="0" t="0" r="0" b="6350"/>
            <wp:docPr id="36105180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9A5A196-54C9-9773-BFD3-BC806017C3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BBD65F" w14:textId="6BA79BB7" w:rsidR="00F75FDE" w:rsidRPr="00345D25" w:rsidRDefault="00F75FDE" w:rsidP="005A1664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345D25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  <w:bookmarkStart w:id="5" w:name="OLE_LINK1"/>
      <w:bookmarkStart w:id="6" w:name="OLE_LINK2"/>
    </w:p>
    <w:p w14:paraId="521BD34D" w14:textId="75F140CF" w:rsidR="00F75FDE" w:rsidRPr="00345D25" w:rsidRDefault="00F75FDE" w:rsidP="00D87F39">
      <w:pPr>
        <w:pStyle w:val="Prrafodelista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</w:pPr>
      <w:r w:rsidRPr="00345D25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lastRenderedPageBreak/>
        <w:t xml:space="preserve">SENTIDO DE LAS RESOLUCIONES EMITIDAS POR EL INSTITUTO A LAS </w:t>
      </w:r>
      <w:r w:rsidR="00973831" w:rsidRPr="00345D25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 xml:space="preserve">DENUNCIAS </w:t>
      </w:r>
      <w:r w:rsidR="00973831" w:rsidRPr="00345D25"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  <w:t>POR PROBABLE INCUMPLIMIENTO DE PUBLICACIÓN Y ACTUALIZACIÓN DE LAS OBLIGACIONES DE TRANSPARENCIA</w:t>
      </w:r>
      <w:r w:rsidR="00324C85" w:rsidRPr="00345D25"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  <w:t xml:space="preserve"> Y/O</w:t>
      </w:r>
      <w:r w:rsidR="004B3508" w:rsidRPr="00345D25">
        <w:rPr>
          <w:rFonts w:ascii="Arial" w:hAnsi="Arial" w:cs="Arial"/>
          <w:sz w:val="24"/>
          <w:szCs w:val="24"/>
        </w:rPr>
        <w:t xml:space="preserve"> </w:t>
      </w:r>
      <w:r w:rsidR="004B3508" w:rsidRPr="00345D25">
        <w:rPr>
          <w:rFonts w:ascii="Arial" w:hAnsi="Arial" w:cs="Arial"/>
          <w:b/>
          <w:bCs/>
          <w:sz w:val="24"/>
          <w:szCs w:val="24"/>
        </w:rPr>
        <w:t>POR POSIBLES VIOLACIONES A LA LEY DE PROTECCIÓN DE DATOS PERSONALES EN POSESIÓN DE SUJETOS OBLIGADOS</w:t>
      </w:r>
      <w:r w:rsidR="004B3508" w:rsidRPr="00345D25">
        <w:rPr>
          <w:rFonts w:ascii="Arial" w:eastAsia="Times New Roman" w:hAnsi="Arial" w:cs="Arial"/>
          <w:b/>
          <w:bCs/>
          <w:kern w:val="0"/>
          <w:sz w:val="24"/>
          <w:szCs w:val="24"/>
          <w:lang w:eastAsia="es-ES_tradnl"/>
        </w:rPr>
        <w:t>.</w:t>
      </w:r>
    </w:p>
    <w:p w14:paraId="25D07C68" w14:textId="77777777" w:rsidR="00973831" w:rsidRPr="00345D25" w:rsidRDefault="00973831" w:rsidP="00973831">
      <w:pPr>
        <w:suppressAutoHyphens w:val="0"/>
        <w:spacing w:after="0" w:line="240" w:lineRule="auto"/>
        <w:ind w:left="720"/>
        <w:contextualSpacing/>
        <w:jc w:val="both"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</w:p>
    <w:p w14:paraId="538CF563" w14:textId="7A3EDF07" w:rsidR="00973831" w:rsidRPr="00345D25" w:rsidRDefault="00973831" w:rsidP="00973831">
      <w:pPr>
        <w:spacing w:line="360" w:lineRule="auto"/>
        <w:jc w:val="both"/>
        <w:rPr>
          <w:rFonts w:ascii="Arial" w:hAnsi="Arial" w:cs="Arial"/>
        </w:rPr>
      </w:pPr>
      <w:r w:rsidRPr="00345D25">
        <w:rPr>
          <w:rFonts w:ascii="Arial" w:hAnsi="Arial" w:cs="Arial"/>
        </w:rPr>
        <w:t xml:space="preserve">Una de las funciones sustantivas del Instituto para garantizar los derechos de la </w:t>
      </w:r>
      <w:r w:rsidR="00FA25AD" w:rsidRPr="00345D25">
        <w:rPr>
          <w:rFonts w:ascii="Arial" w:hAnsi="Arial" w:cs="Arial"/>
        </w:rPr>
        <w:br/>
      </w:r>
      <w:r w:rsidRPr="00345D25">
        <w:rPr>
          <w:rFonts w:ascii="Arial" w:hAnsi="Arial" w:cs="Arial"/>
        </w:rPr>
        <w:t xml:space="preserve">ciudadanía, consiste en resolver las denuncias por probable incumplimiento de </w:t>
      </w:r>
      <w:r w:rsidR="00FA25AD" w:rsidRPr="00345D25">
        <w:rPr>
          <w:rFonts w:ascii="Arial" w:hAnsi="Arial" w:cs="Arial"/>
        </w:rPr>
        <w:br/>
      </w:r>
      <w:r w:rsidRPr="00345D25">
        <w:rPr>
          <w:rFonts w:ascii="Arial" w:hAnsi="Arial" w:cs="Arial"/>
        </w:rPr>
        <w:t>publicación y actualización de las obligaciones de transparenci</w:t>
      </w:r>
      <w:r w:rsidR="004B3508" w:rsidRPr="00345D25">
        <w:rPr>
          <w:rFonts w:ascii="Arial" w:hAnsi="Arial" w:cs="Arial"/>
        </w:rPr>
        <w:t xml:space="preserve">a, así como por </w:t>
      </w:r>
      <w:r w:rsidR="00FA25AD" w:rsidRPr="00345D25">
        <w:rPr>
          <w:rFonts w:ascii="Arial" w:hAnsi="Arial" w:cs="Arial"/>
        </w:rPr>
        <w:br/>
      </w:r>
      <w:r w:rsidR="004B3508" w:rsidRPr="00345D25">
        <w:rPr>
          <w:rFonts w:ascii="Arial" w:hAnsi="Arial" w:cs="Arial"/>
        </w:rPr>
        <w:t xml:space="preserve">posibles violaciones a la Ley de Protección de Datos Personales en Posesión de </w:t>
      </w:r>
      <w:r w:rsidR="00FA25AD" w:rsidRPr="00345D25">
        <w:rPr>
          <w:rFonts w:ascii="Arial" w:hAnsi="Arial" w:cs="Arial"/>
        </w:rPr>
        <w:br/>
      </w:r>
      <w:r w:rsidR="004B3508" w:rsidRPr="00345D25">
        <w:rPr>
          <w:rFonts w:ascii="Arial" w:hAnsi="Arial" w:cs="Arial"/>
        </w:rPr>
        <w:t>Sujetos Obligados</w:t>
      </w:r>
      <w:r w:rsidRPr="00345D25">
        <w:rPr>
          <w:rFonts w:ascii="Arial" w:hAnsi="Arial" w:cs="Arial"/>
        </w:rPr>
        <w:t xml:space="preserve"> presentadas ante el INFO CDMX, el resultado de ese análisis puede </w:t>
      </w:r>
      <w:r w:rsidR="00FA25AD" w:rsidRPr="00345D25">
        <w:rPr>
          <w:rFonts w:ascii="Arial" w:hAnsi="Arial" w:cs="Arial"/>
        </w:rPr>
        <w:br/>
      </w:r>
      <w:r w:rsidRPr="00345D25">
        <w:rPr>
          <w:rFonts w:ascii="Arial" w:hAnsi="Arial" w:cs="Arial"/>
        </w:rPr>
        <w:t>ser alguno de los siguientes sentidos:</w:t>
      </w:r>
    </w:p>
    <w:p w14:paraId="61AEB453" w14:textId="77777777" w:rsidR="00973831" w:rsidRPr="00345D25" w:rsidRDefault="00973831" w:rsidP="00973831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45D25">
        <w:rPr>
          <w:rFonts w:ascii="Arial" w:hAnsi="Arial" w:cs="Arial"/>
          <w:b/>
          <w:bCs/>
        </w:rPr>
        <w:t>Desechar:</w:t>
      </w:r>
      <w:r w:rsidRPr="00345D25">
        <w:rPr>
          <w:rFonts w:ascii="Arial" w:hAnsi="Arial" w:cs="Arial"/>
        </w:rPr>
        <w:t xml:space="preserve"> al verificar la información ésta se encuentra publicada en la página del sujeto obligado, por tanto, la denuncia se considera improcedente.</w:t>
      </w:r>
    </w:p>
    <w:p w14:paraId="0648BA6F" w14:textId="77777777" w:rsidR="00973831" w:rsidRPr="00345D25" w:rsidRDefault="00973831" w:rsidP="00973831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45D25">
        <w:rPr>
          <w:rFonts w:ascii="Arial" w:hAnsi="Arial" w:cs="Arial"/>
          <w:b/>
          <w:bCs/>
        </w:rPr>
        <w:t xml:space="preserve">Infundada: </w:t>
      </w:r>
      <w:r w:rsidRPr="00345D25">
        <w:rPr>
          <w:rFonts w:ascii="Arial" w:hAnsi="Arial" w:cs="Arial"/>
        </w:rPr>
        <w:t>el motivo de</w:t>
      </w:r>
      <w:r w:rsidRPr="00345D25">
        <w:rPr>
          <w:rFonts w:ascii="Arial" w:hAnsi="Arial" w:cs="Arial"/>
          <w:b/>
          <w:bCs/>
        </w:rPr>
        <w:t xml:space="preserve"> </w:t>
      </w:r>
      <w:r w:rsidRPr="00345D25">
        <w:rPr>
          <w:rFonts w:ascii="Arial" w:hAnsi="Arial" w:cs="Arial"/>
        </w:rPr>
        <w:t>la fracción y/o artículo denunciado se encuentra publicado y actualizado en la página del sujeto obligado.</w:t>
      </w:r>
    </w:p>
    <w:p w14:paraId="2F24E57B" w14:textId="77777777" w:rsidR="00973831" w:rsidRPr="00345D25" w:rsidRDefault="00973831" w:rsidP="00973831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45D25">
        <w:rPr>
          <w:rFonts w:ascii="Arial" w:hAnsi="Arial" w:cs="Arial"/>
          <w:b/>
          <w:bCs/>
        </w:rPr>
        <w:t>Parcialmente fundada:</w:t>
      </w:r>
      <w:r w:rsidRPr="00345D25">
        <w:rPr>
          <w:rFonts w:ascii="Arial" w:hAnsi="Arial" w:cs="Arial"/>
        </w:rPr>
        <w:t xml:space="preserve"> en este caso la información publicada se considera incompleta y se ordena al sujeto obligado que actualice la misma.</w:t>
      </w:r>
    </w:p>
    <w:p w14:paraId="55706DF6" w14:textId="5A39A6EF" w:rsidR="00973831" w:rsidRPr="00345D25" w:rsidRDefault="00973831" w:rsidP="00F75FDE">
      <w:pPr>
        <w:pStyle w:val="Prrafodelista"/>
        <w:numPr>
          <w:ilvl w:val="0"/>
          <w:numId w:val="5"/>
        </w:numPr>
        <w:suppressAutoHyphens w:val="0"/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345D25">
        <w:rPr>
          <w:rFonts w:ascii="Arial" w:hAnsi="Arial" w:cs="Arial"/>
          <w:b/>
          <w:bCs/>
        </w:rPr>
        <w:t>Fundada:</w:t>
      </w:r>
      <w:r w:rsidRPr="00345D25">
        <w:rPr>
          <w:rFonts w:ascii="Arial" w:hAnsi="Arial" w:cs="Arial"/>
        </w:rPr>
        <w:t xml:space="preserve"> al verificar la información se encuentra que ésta no existe en la página del sujeto obligado y se le ordena que la publique a la brevedad.</w:t>
      </w:r>
    </w:p>
    <w:p w14:paraId="70C60D0B" w14:textId="77777777" w:rsidR="004B3508" w:rsidRPr="00345D25" w:rsidRDefault="004B3508" w:rsidP="00FA25AD">
      <w:pPr>
        <w:pStyle w:val="Prrafodelista"/>
        <w:suppressAutoHyphens w:val="0"/>
        <w:spacing w:after="0" w:line="360" w:lineRule="auto"/>
        <w:ind w:left="426"/>
        <w:jc w:val="both"/>
        <w:rPr>
          <w:rFonts w:ascii="Arial" w:hAnsi="Arial" w:cs="Arial"/>
        </w:rPr>
      </w:pPr>
    </w:p>
    <w:tbl>
      <w:tblPr>
        <w:tblW w:w="751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843"/>
      </w:tblGrid>
      <w:tr w:rsidR="00F75FDE" w:rsidRPr="00345D25" w14:paraId="26B597CB" w14:textId="77777777" w:rsidTr="004B3508">
        <w:trPr>
          <w:trHeight w:val="613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478BB49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</w:rPr>
            </w:pPr>
            <w:r w:rsidRPr="00345D2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s-ES" w:eastAsia="es-ES"/>
              </w:rPr>
              <w:t xml:space="preserve">SENTIDO DE LAS RESOLUCIONES A DLT </w:t>
            </w:r>
          </w:p>
        </w:tc>
      </w:tr>
      <w:tr w:rsidR="00F75FDE" w:rsidRPr="00345D25" w14:paraId="4D4B148E" w14:textId="77777777" w:rsidTr="004B3508">
        <w:trPr>
          <w:trHeight w:val="5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1F8D0A09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 xml:space="preserve">No.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00C6B318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Sentido de la resolución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61D15F8E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# Registros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384BC180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%</w:t>
            </w:r>
          </w:p>
        </w:tc>
      </w:tr>
      <w:tr w:rsidR="00F75FDE" w:rsidRPr="00345D25" w14:paraId="3A00DF81" w14:textId="77777777" w:rsidTr="004B3508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693F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71AD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Infundada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0E2" w14:textId="79669C6C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912" w14:textId="24DFA5A7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76.7</w:t>
            </w:r>
          </w:p>
        </w:tc>
      </w:tr>
      <w:tr w:rsidR="00F75FDE" w:rsidRPr="00345D25" w14:paraId="74A14F24" w14:textId="77777777" w:rsidTr="004B350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B25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7C4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Desechar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56D" w14:textId="48D167A1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4DAB" w14:textId="32E2CD3D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1</w:t>
            </w:r>
            <w:r w:rsidR="00FA25AD" w:rsidRPr="00345D25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.</w:t>
            </w:r>
            <w:r w:rsidR="00D63F56" w:rsidRPr="00345D25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7</w:t>
            </w:r>
          </w:p>
        </w:tc>
      </w:tr>
      <w:tr w:rsidR="00F75FDE" w:rsidRPr="00345D25" w14:paraId="3FC9875C" w14:textId="77777777" w:rsidTr="004B3508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6DB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649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Parcialmente fundada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E98E" w14:textId="31EB7112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E106" w14:textId="61B4FA74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20.7</w:t>
            </w:r>
          </w:p>
        </w:tc>
      </w:tr>
      <w:tr w:rsidR="00F75FDE" w:rsidRPr="00345D25" w14:paraId="28402F77" w14:textId="77777777" w:rsidTr="004B3508">
        <w:trPr>
          <w:trHeight w:val="4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8A4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BB5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Fundada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0AF" w14:textId="064DBC19" w:rsidR="00F75FDE" w:rsidRPr="00345D25" w:rsidRDefault="00D63F56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BD9" w14:textId="2400AC48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Theme="minorHAnsi" w:hAnsi="Arial" w:cs="Arial"/>
                <w:color w:val="000000"/>
                <w:kern w:val="0"/>
                <w:lang w:val="es-ES" w:eastAsia="en-US"/>
              </w:rPr>
              <w:t>0.9</w:t>
            </w:r>
          </w:p>
        </w:tc>
      </w:tr>
      <w:tr w:rsidR="00F75FDE" w:rsidRPr="00345D25" w14:paraId="2193B7F2" w14:textId="77777777" w:rsidTr="004B3508">
        <w:trPr>
          <w:trHeight w:val="45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69B6FB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915B" w14:textId="0F712578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F31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100</w:t>
            </w:r>
          </w:p>
        </w:tc>
      </w:tr>
    </w:tbl>
    <w:p w14:paraId="3B047AC8" w14:textId="77777777" w:rsidR="00F75FDE" w:rsidRDefault="00F75FDE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345D25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23690E8E" w14:textId="77777777" w:rsidR="00D63F56" w:rsidRDefault="00D63F56" w:rsidP="00F75FDE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2CFC12CE" w14:textId="77AF36CF" w:rsidR="00D63F56" w:rsidRPr="00D63F56" w:rsidRDefault="00345D25" w:rsidP="00D63F56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noProof/>
        </w:rPr>
        <w:lastRenderedPageBreak/>
        <w:drawing>
          <wp:inline distT="0" distB="0" distL="0" distR="0" wp14:anchorId="17D6A6DA" wp14:editId="4F888B96">
            <wp:extent cx="4743450" cy="2235200"/>
            <wp:effectExtent l="0" t="0" r="0" b="12700"/>
            <wp:docPr id="2382431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BC7574C-8490-39FF-9C1E-E2EB8D753F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70AE43" w14:textId="77777777" w:rsidR="00F75FDE" w:rsidRPr="00345D25" w:rsidRDefault="00F75FDE" w:rsidP="004B3508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345D25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bookmarkEnd w:id="5"/>
    <w:bookmarkEnd w:id="6"/>
    <w:p w14:paraId="52457E01" w14:textId="77777777" w:rsidR="00F75FDE" w:rsidRPr="00345D25" w:rsidRDefault="00F75FDE" w:rsidP="00F75FDE">
      <w:pPr>
        <w:suppressAutoHyphens w:val="0"/>
        <w:spacing w:after="0" w:line="360" w:lineRule="auto"/>
        <w:jc w:val="both"/>
        <w:rPr>
          <w:rFonts w:ascii="Arial" w:eastAsia="Times New Roman" w:hAnsi="Arial" w:cs="Arial"/>
          <w:kern w:val="0"/>
          <w:sz w:val="16"/>
          <w:szCs w:val="16"/>
          <w:lang w:val="es-ES" w:eastAsia="es-MX"/>
        </w:rPr>
      </w:pPr>
    </w:p>
    <w:tbl>
      <w:tblPr>
        <w:tblW w:w="7513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843"/>
      </w:tblGrid>
      <w:tr w:rsidR="00F75FDE" w:rsidRPr="00345D25" w14:paraId="454C8B99" w14:textId="77777777" w:rsidTr="004B3508">
        <w:trPr>
          <w:trHeight w:val="696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4EFFC59A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"/>
              </w:rPr>
            </w:pPr>
            <w:r w:rsidRPr="00345D2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val="es-ES" w:eastAsia="es-ES"/>
              </w:rPr>
              <w:t>SENTIDO DE LAS RESOLUCIONES A DENUNCIAS EN MATERIA DE PROTECCIÓN A DATOS PERSONALES</w:t>
            </w:r>
          </w:p>
        </w:tc>
      </w:tr>
      <w:tr w:rsidR="00F75FDE" w:rsidRPr="00345D25" w14:paraId="4435A217" w14:textId="77777777" w:rsidTr="00105295">
        <w:trPr>
          <w:trHeight w:val="6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24944094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 xml:space="preserve">No.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  <w:hideMark/>
          </w:tcPr>
          <w:p w14:paraId="667E38FE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Sentido de la resolución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135D5034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# Registros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noWrap/>
            <w:vAlign w:val="center"/>
            <w:hideMark/>
          </w:tcPr>
          <w:p w14:paraId="7DDA8BE4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%</w:t>
            </w:r>
          </w:p>
        </w:tc>
      </w:tr>
      <w:tr w:rsidR="00F75FDE" w:rsidRPr="00345D25" w14:paraId="11A161B3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145C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FC9D" w14:textId="644F1DF6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Parcialmente f</w:t>
            </w:r>
            <w:r w:rsidR="00F75FDE"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 xml:space="preserve">undada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228" w14:textId="2ECBB546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A52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50</w:t>
            </w:r>
          </w:p>
        </w:tc>
      </w:tr>
      <w:tr w:rsidR="00F75FDE" w:rsidRPr="00345D25" w14:paraId="4AAAFBD5" w14:textId="77777777" w:rsidTr="00335F73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D58F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E5E" w14:textId="7B1F5220" w:rsidR="00F75FDE" w:rsidRPr="00345D25" w:rsidRDefault="00D63F56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In</w:t>
            </w:r>
            <w:r w:rsidR="00F75FDE"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 xml:space="preserve">fundada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9E2" w14:textId="08007F0B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35DC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50</w:t>
            </w:r>
          </w:p>
        </w:tc>
      </w:tr>
      <w:tr w:rsidR="00F75FDE" w:rsidRPr="00345D25" w14:paraId="0029A5FD" w14:textId="77777777" w:rsidTr="00335F73">
        <w:trPr>
          <w:trHeight w:val="5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C8BFC16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C70" w14:textId="17727C37" w:rsidR="00F75FDE" w:rsidRPr="00345D25" w:rsidRDefault="00FA25AD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135D" w14:textId="77777777" w:rsidR="00F75FDE" w:rsidRPr="00345D25" w:rsidRDefault="00F75FDE" w:rsidP="00F75FD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</w:pPr>
            <w:r w:rsidRPr="00345D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 w:eastAsia="es-ES_tradnl"/>
              </w:rPr>
              <w:t>100</w:t>
            </w:r>
          </w:p>
        </w:tc>
      </w:tr>
    </w:tbl>
    <w:p w14:paraId="7A479E06" w14:textId="50723F0F" w:rsidR="00F75FDE" w:rsidRDefault="00F75FDE" w:rsidP="004B3508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345D25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1D61A904" w14:textId="77777777" w:rsidR="00345D25" w:rsidRDefault="00345D25" w:rsidP="004B3508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28864052" w14:textId="4A179CC8" w:rsidR="00F75FDE" w:rsidRPr="00D63F56" w:rsidRDefault="00345D25" w:rsidP="00D63F56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>
        <w:rPr>
          <w:noProof/>
        </w:rPr>
        <w:drawing>
          <wp:inline distT="0" distB="0" distL="0" distR="0" wp14:anchorId="06E67F8C" wp14:editId="432E9072">
            <wp:extent cx="4692650" cy="2146300"/>
            <wp:effectExtent l="0" t="0" r="12700" b="6350"/>
            <wp:docPr id="147645002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2824F17-E370-216C-B6DA-50B1CCF51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CDACA6" w14:textId="6625198B" w:rsidR="00F75FDE" w:rsidRPr="00AA0993" w:rsidRDefault="00F75FDE" w:rsidP="00D63F56">
      <w:pPr>
        <w:suppressAutoHyphens w:val="0"/>
        <w:ind w:left="709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AA0993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3851C788" w14:textId="77777777" w:rsidR="00DB6618" w:rsidRPr="00AA0993" w:rsidRDefault="00DB6618" w:rsidP="004B3508">
      <w:pPr>
        <w:suppressAutoHyphens w:val="0"/>
        <w:ind w:left="567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076546B5" w14:textId="734F3FD7" w:rsidR="00F75FDE" w:rsidRPr="00AA0993" w:rsidRDefault="00F75FDE" w:rsidP="007172EF">
      <w:pPr>
        <w:pStyle w:val="Prrafodelista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eastAsia="Arial" w:hAnsi="Arial" w:cs="Arial"/>
          <w:color w:val="000000" w:themeColor="text1"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b/>
          <w:color w:val="000000" w:themeColor="text1"/>
          <w:kern w:val="0"/>
          <w:sz w:val="24"/>
          <w:szCs w:val="24"/>
          <w:lang w:val="es-ES" w:eastAsia="en-US"/>
        </w:rPr>
        <w:t>SEGUIMIENTO A LOS CUMPLIMIENTOS QUE EMITEN LAS DIVERSAS PONENCIAS RESPECTO DE LAS RESOLUCIONES APROBADAS POR EL PLENO.</w:t>
      </w:r>
    </w:p>
    <w:p w14:paraId="53563E88" w14:textId="77777777" w:rsidR="00F75FDE" w:rsidRPr="00AA0993" w:rsidRDefault="00F75FDE" w:rsidP="00F75FDE">
      <w:pPr>
        <w:suppressAutoHyphens w:val="0"/>
        <w:spacing w:after="0" w:line="360" w:lineRule="auto"/>
        <w:ind w:left="720"/>
        <w:contextualSpacing/>
        <w:jc w:val="both"/>
        <w:rPr>
          <w:rFonts w:ascii="Arial" w:eastAsia="Arial" w:hAnsi="Arial" w:cs="Arial"/>
          <w:color w:val="000000" w:themeColor="text1"/>
          <w:kern w:val="0"/>
          <w:sz w:val="24"/>
          <w:szCs w:val="24"/>
          <w:lang w:val="es-ES" w:eastAsia="en-US"/>
        </w:rPr>
      </w:pPr>
    </w:p>
    <w:p w14:paraId="2EA9CAC3" w14:textId="1E14063A" w:rsidR="00F75FDE" w:rsidRPr="00AA0993" w:rsidRDefault="00F75FDE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De conformidad al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Acuerdo 1288/SE/02-10/2020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 mediante el cual se adicionan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>y modifican diversas disposiciones al Reglamento Interior del Instituto de Transparencia, Acceso a la Información Pública, Protección de Datos Personales y Rendición de Cuentas de la Ciudad de México, relativas a la facultad de las Comisionadas y los Comisionados, a través de las respectivas Ponencias, para dar seguimiento al cumplimiento de las resoluciones que emita el Pleno.</w:t>
      </w:r>
    </w:p>
    <w:p w14:paraId="42D46F22" w14:textId="77777777" w:rsidR="00F75FDE" w:rsidRPr="00AA0993" w:rsidRDefault="00F75FDE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</w:p>
    <w:p w14:paraId="3C400395" w14:textId="2FF0147A" w:rsidR="00F75FDE" w:rsidRPr="00AA0993" w:rsidRDefault="00F75FDE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En ese sentido, de acuerdo con las facultades conferidas a las y los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Coordinadores y a las personas titulares de la Subdirección de Proyectos de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cada una de las Ponencias, establecidas en el Reglamento Interior de este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Instituto, este personal adscrito a las ponencias se encuentra facultado para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realizar la suscripción de acuerdos relativos al cumplimiento o incumplimiento 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>de los sujetos obligados respecto a las resoluciones aprobadas por el Pleno.</w:t>
      </w:r>
      <w:r w:rsidR="00FA25AD"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</w:r>
    </w:p>
    <w:p w14:paraId="24AB435B" w14:textId="77777777" w:rsidR="00A2388D" w:rsidRPr="00AA0993" w:rsidRDefault="00A2388D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Por lo que hace al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segundo trimestre del año 2024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, el Pleno de este Instituto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ha aprobado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1,022 resoluciones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 a expedientes de recursos de revisión y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denuncias susceptibles de cumplimiento por parte del Sujeto Obligado,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respecto a lo ordenado por este Órgano Garante Local, considerando en dicha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cifra los recursos de revisión acumulados. </w:t>
      </w:r>
    </w:p>
    <w:p w14:paraId="16CF36A4" w14:textId="77777777" w:rsidR="00A2388D" w:rsidRPr="00AA0993" w:rsidRDefault="00A2388D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</w:p>
    <w:p w14:paraId="7ED643FE" w14:textId="4EB4EB1C" w:rsidR="00F75FDE" w:rsidRPr="00773D16" w:rsidRDefault="00A2388D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De dichas resoluciones susceptibles de cumplimiento,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897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 corresponden a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recursos de revisión en materia de acceso a la información pública,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73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 en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materia de derechos ARCO,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>50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 denuncias por el probable incumplimiento a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 xml:space="preserve">las obligaciones de transparencia y </w:t>
      </w:r>
      <w:r w:rsidRPr="00AA0993">
        <w:rPr>
          <w:rFonts w:ascii="Arial" w:eastAsia="Arial" w:hAnsi="Arial" w:cs="Arial"/>
          <w:b/>
          <w:bCs/>
          <w:kern w:val="0"/>
          <w:sz w:val="24"/>
          <w:szCs w:val="24"/>
          <w:lang w:val="es-ES" w:eastAsia="en-US"/>
        </w:rPr>
        <w:t xml:space="preserve">2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t xml:space="preserve">por el presunto incumplimiento a la </w:t>
      </w:r>
      <w:r w:rsidRPr="00AA0993">
        <w:rPr>
          <w:rFonts w:ascii="Arial" w:eastAsia="Arial" w:hAnsi="Arial" w:cs="Arial"/>
          <w:kern w:val="0"/>
          <w:sz w:val="24"/>
          <w:szCs w:val="24"/>
          <w:lang w:val="es-ES" w:eastAsia="en-US"/>
        </w:rPr>
        <w:br/>
        <w:t>Ley de Protección de Datos Personales Local.</w:t>
      </w:r>
    </w:p>
    <w:p w14:paraId="03C921C2" w14:textId="30E8B26D" w:rsidR="00F75FDE" w:rsidRPr="00773D16" w:rsidRDefault="00AA0993" w:rsidP="00AA0993">
      <w:pPr>
        <w:suppressAutoHyphens w:val="0"/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  <w:r>
        <w:rPr>
          <w:noProof/>
        </w:rPr>
        <w:lastRenderedPageBreak/>
        <w:drawing>
          <wp:inline distT="0" distB="0" distL="0" distR="0" wp14:anchorId="6A11D5B0" wp14:editId="6D9901F3">
            <wp:extent cx="4488180" cy="2660650"/>
            <wp:effectExtent l="0" t="0" r="7620" b="6350"/>
            <wp:docPr id="145985199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5F1975C4-E134-1E5B-C57B-054C55663B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091850" w14:textId="77777777" w:rsidR="00AA0993" w:rsidRDefault="00AA0993" w:rsidP="00857B9D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</w:p>
    <w:p w14:paraId="4EE56139" w14:textId="11A30525" w:rsidR="00857B9D" w:rsidRPr="00773D16" w:rsidRDefault="00857B9D" w:rsidP="00857B9D">
      <w:pPr>
        <w:suppressAutoHyphens w:val="0"/>
        <w:ind w:left="851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773D16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6BC1CDC3" w14:textId="77777777" w:rsidR="006618BA" w:rsidRPr="00773D16" w:rsidRDefault="006618BA" w:rsidP="00F75FDE">
      <w:pPr>
        <w:suppressAutoHyphens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:lang w:val="es-ES" w:eastAsia="en-US"/>
        </w:rPr>
      </w:pPr>
    </w:p>
    <w:p w14:paraId="5620BF21" w14:textId="589C8D02" w:rsidR="00F75FDE" w:rsidRPr="00AA0993" w:rsidRDefault="00F75FDE" w:rsidP="00D87F39">
      <w:pPr>
        <w:pStyle w:val="Prrafodelista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</w:pPr>
      <w:r w:rsidRPr="00AA0993"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val="es-ES" w:eastAsia="en-US"/>
        </w:rPr>
        <w:t>NOTIFICACIÓN A LOS ÓRGANOS INTERNOS DE CONTROL LAS VISTAS ORDENADAS POR EL PLENO.</w:t>
      </w:r>
    </w:p>
    <w:p w14:paraId="415142E9" w14:textId="77777777" w:rsidR="00F75FDE" w:rsidRPr="00AA0993" w:rsidRDefault="00F75FDE" w:rsidP="00F75FDE">
      <w:pPr>
        <w:suppressAutoHyphens w:val="0"/>
        <w:rPr>
          <w:rFonts w:asciiTheme="minorHAnsi" w:eastAsiaTheme="minorHAnsi" w:hAnsiTheme="minorHAnsi" w:cstheme="minorBidi"/>
          <w:kern w:val="0"/>
          <w:lang w:val="es-ES" w:eastAsia="en-US"/>
        </w:rPr>
      </w:pPr>
    </w:p>
    <w:p w14:paraId="6580AA07" w14:textId="302F52AE" w:rsidR="00F75FDE" w:rsidRPr="00AA0993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  <w:r w:rsidRPr="00AA0993"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  <w:t xml:space="preserve">De las </w:t>
      </w:r>
      <w:r w:rsidRPr="00AA0993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>1</w:t>
      </w:r>
      <w:r w:rsidR="00FA25AD" w:rsidRPr="00AA0993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>3</w:t>
      </w:r>
      <w:r w:rsidRPr="00AA0993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 xml:space="preserve"> sesiones plenarias ordinarias</w:t>
      </w:r>
      <w:r w:rsidRPr="00AA0993"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  <w:t xml:space="preserve"> celebradas durante este trimestre, </w:t>
      </w:r>
      <w:r w:rsidR="00FA25AD" w:rsidRPr="00AA0993"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  <w:br/>
      </w:r>
      <w:r w:rsidRPr="00AA0993"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  <w:t xml:space="preserve">las Comisionadas y los Comisionados Ciudadanos aprobaron dar vista a la autoridad correspondiente, a efecto de que determine lo que en derecho corresponda, respecto de </w:t>
      </w:r>
      <w:r w:rsidR="00FA25AD" w:rsidRPr="00AA0993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>175</w:t>
      </w:r>
      <w:r w:rsidRPr="00AA0993">
        <w:rPr>
          <w:rFonts w:ascii="Arial" w:eastAsiaTheme="minorHAnsi" w:hAnsi="Arial" w:cs="Arial"/>
          <w:b/>
          <w:bCs/>
          <w:kern w:val="0"/>
          <w:sz w:val="24"/>
          <w:szCs w:val="24"/>
          <w:lang w:val="es-ES" w:eastAsia="en-US"/>
        </w:rPr>
        <w:t xml:space="preserve"> resoluciones</w:t>
      </w:r>
      <w:r w:rsidRPr="00AA0993"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  <w:t xml:space="preserve"> a recursos de revisión.</w:t>
      </w:r>
    </w:p>
    <w:p w14:paraId="25BD346D" w14:textId="77777777" w:rsidR="006618BA" w:rsidRPr="00AA0993" w:rsidRDefault="006618BA" w:rsidP="00DB6618">
      <w:pPr>
        <w:suppressAutoHyphens w:val="0"/>
        <w:spacing w:after="0" w:line="360" w:lineRule="auto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280"/>
      </w:tblGrid>
      <w:tr w:rsidR="00BA1FBE" w:rsidRPr="00AA0993" w14:paraId="0C483136" w14:textId="77777777" w:rsidTr="006618BA">
        <w:trPr>
          <w:trHeight w:val="794"/>
          <w:jc w:val="center"/>
        </w:trPr>
        <w:tc>
          <w:tcPr>
            <w:tcW w:w="6520" w:type="dxa"/>
            <w:gridSpan w:val="2"/>
            <w:shd w:val="clear" w:color="auto" w:fill="auto"/>
            <w:vAlign w:val="center"/>
            <w:hideMark/>
          </w:tcPr>
          <w:p w14:paraId="47F139EE" w14:textId="77777777" w:rsidR="00BA1FBE" w:rsidRPr="00AA0993" w:rsidRDefault="00BA1FBE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VISTAS ORDENADAS POR EL PLENO EN MATERIA DE ACCESO A LA INFORMACIÓN PÚBLICA.</w:t>
            </w:r>
          </w:p>
        </w:tc>
      </w:tr>
      <w:tr w:rsidR="00BA1FBE" w:rsidRPr="00AA0993" w14:paraId="729FAC34" w14:textId="77777777" w:rsidTr="006618BA">
        <w:trPr>
          <w:trHeight w:val="51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8949E9D" w14:textId="77777777" w:rsidR="00BA1FBE" w:rsidRPr="00AA0993" w:rsidRDefault="00BA1FBE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Motivo de la vista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895B725" w14:textId="77777777" w:rsidR="00BA1FBE" w:rsidRPr="00AA0993" w:rsidRDefault="00BA1FBE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Total</w:t>
            </w:r>
          </w:p>
        </w:tc>
      </w:tr>
      <w:tr w:rsidR="00BA1FBE" w:rsidRPr="00AA0993" w14:paraId="41B20008" w14:textId="77777777" w:rsidTr="006618BA">
        <w:trPr>
          <w:trHeight w:val="737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29E35B5" w14:textId="7CB24FD2" w:rsidR="00BA1FBE" w:rsidRPr="00AA0993" w:rsidRDefault="00FA25AD" w:rsidP="006618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No atender los requerimientos de este Instituto</w:t>
            </w:r>
            <w:r w:rsidR="00BA1FBE"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A7F5378" w14:textId="5CDF5A9E" w:rsidR="00BA1FBE" w:rsidRPr="00AA0993" w:rsidRDefault="00FA25AD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35</w:t>
            </w:r>
          </w:p>
        </w:tc>
      </w:tr>
      <w:tr w:rsidR="00BA1FBE" w:rsidRPr="00AA0993" w14:paraId="0DA9EB81" w14:textId="77777777" w:rsidTr="006618BA">
        <w:trPr>
          <w:trHeight w:val="737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4B7F9C9" w14:textId="4EF23A9A" w:rsidR="00BA1FBE" w:rsidRPr="00AA0993" w:rsidRDefault="00FA25AD" w:rsidP="006618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Omisión de respuesta</w:t>
            </w:r>
            <w:r w:rsidR="00BA1FBE"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0F68DC8" w14:textId="7F8FF2DA" w:rsidR="00BA1FBE" w:rsidRPr="00AA0993" w:rsidRDefault="00FA25AD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80</w:t>
            </w:r>
          </w:p>
        </w:tc>
      </w:tr>
      <w:tr w:rsidR="00BA1FBE" w:rsidRPr="00AA0993" w14:paraId="6297229C" w14:textId="77777777" w:rsidTr="006618BA">
        <w:trPr>
          <w:trHeight w:val="737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ABC7008" w14:textId="1EF2C854" w:rsidR="00BA1FBE" w:rsidRPr="00AA0993" w:rsidRDefault="00FA25AD" w:rsidP="006618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lastRenderedPageBreak/>
              <w:t>Respuesta extemporánea</w:t>
            </w:r>
            <w:r w:rsidR="00BA1FBE"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A22C2C7" w14:textId="6B9C3745" w:rsidR="00BA1FBE" w:rsidRPr="00AA0993" w:rsidRDefault="00FA25AD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53</w:t>
            </w:r>
          </w:p>
        </w:tc>
      </w:tr>
      <w:tr w:rsidR="00BA1FBE" w:rsidRPr="00AA0993" w14:paraId="6A6C1A4E" w14:textId="77777777" w:rsidTr="006618BA">
        <w:trPr>
          <w:trHeight w:val="737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3BCA941D" w14:textId="0A011560" w:rsidR="00BA1FBE" w:rsidRPr="00AA0993" w:rsidRDefault="00FA25AD" w:rsidP="006618BA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Revelar información de acceso restringido</w:t>
            </w:r>
            <w:r w:rsidR="00BA1FBE"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5A0F1E0" w14:textId="4E306B1B" w:rsidR="00BA1FBE" w:rsidRPr="00AA0993" w:rsidRDefault="00FA25AD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color w:val="000000"/>
                <w:kern w:val="0"/>
                <w:lang w:eastAsia="es-MX"/>
              </w:rPr>
              <w:t>7</w:t>
            </w:r>
          </w:p>
        </w:tc>
      </w:tr>
      <w:tr w:rsidR="00BA1FBE" w:rsidRPr="00AA0993" w14:paraId="2D21A835" w14:textId="77777777" w:rsidTr="00773D16">
        <w:trPr>
          <w:trHeight w:val="737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3D63205D" w14:textId="77777777" w:rsidR="00BA1FBE" w:rsidRPr="00AA0993" w:rsidRDefault="00BA1FBE" w:rsidP="00773D1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Total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EDD5C11" w14:textId="266984A3" w:rsidR="00BA1FBE" w:rsidRPr="00AA0993" w:rsidRDefault="00A2388D" w:rsidP="00BA1FB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</w:pPr>
            <w:r w:rsidRPr="00AA09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MX"/>
              </w:rPr>
              <w:t>175</w:t>
            </w:r>
          </w:p>
        </w:tc>
      </w:tr>
    </w:tbl>
    <w:p w14:paraId="184700E5" w14:textId="77777777" w:rsidR="00857B9D" w:rsidRPr="00F75FDE" w:rsidRDefault="00857B9D" w:rsidP="00857B9D">
      <w:pPr>
        <w:suppressAutoHyphens w:val="0"/>
        <w:ind w:left="1134"/>
        <w:jc w:val="both"/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</w:pPr>
      <w:r w:rsidRPr="00AA0993">
        <w:rPr>
          <w:rFonts w:ascii="Arial" w:eastAsiaTheme="minorHAnsi" w:hAnsi="Arial" w:cs="Arial"/>
          <w:kern w:val="0"/>
          <w:sz w:val="14"/>
          <w:szCs w:val="14"/>
          <w:lang w:val="es-ES" w:eastAsia="en-US"/>
        </w:rPr>
        <w:t>Fuente: INFO CDMX, Secretaría Técnica.</w:t>
      </w:r>
    </w:p>
    <w:p w14:paraId="05F8BC16" w14:textId="77777777" w:rsidR="00F75FDE" w:rsidRPr="00F75FDE" w:rsidRDefault="00F75FDE" w:rsidP="00F75FDE">
      <w:pPr>
        <w:suppressAutoHyphens w:val="0"/>
        <w:spacing w:after="0" w:line="360" w:lineRule="auto"/>
        <w:jc w:val="both"/>
        <w:rPr>
          <w:rFonts w:ascii="Arial" w:eastAsiaTheme="minorHAnsi" w:hAnsi="Arial" w:cs="Arial"/>
          <w:kern w:val="0"/>
          <w:sz w:val="24"/>
          <w:szCs w:val="24"/>
          <w:lang w:val="es-ES" w:eastAsia="en-US"/>
        </w:rPr>
      </w:pPr>
    </w:p>
    <w:p w14:paraId="1DFB448A" w14:textId="77777777" w:rsidR="00241F8C" w:rsidRPr="00451513" w:rsidRDefault="00241F8C" w:rsidP="006355E1">
      <w:pPr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kern w:val="0"/>
          <w:lang w:val="es-ES" w:eastAsia="es-ES"/>
        </w:rPr>
      </w:pPr>
    </w:p>
    <w:sectPr w:rsidR="00241F8C" w:rsidRPr="00451513" w:rsidSect="00451513">
      <w:headerReference w:type="default" r:id="rId16"/>
      <w:footerReference w:type="default" r:id="rId17"/>
      <w:pgSz w:w="12240" w:h="15840"/>
      <w:pgMar w:top="1560" w:right="1701" w:bottom="1843" w:left="1701" w:header="568" w:footer="34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3C3B" w14:textId="77777777" w:rsidR="00497A81" w:rsidRDefault="00497A81">
      <w:pPr>
        <w:spacing w:after="0" w:line="240" w:lineRule="auto"/>
      </w:pPr>
      <w:r>
        <w:separator/>
      </w:r>
    </w:p>
  </w:endnote>
  <w:endnote w:type="continuationSeparator" w:id="0">
    <w:p w14:paraId="25654D80" w14:textId="77777777" w:rsidR="00497A81" w:rsidRDefault="0049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4822" w14:textId="77777777" w:rsidR="009B69BE" w:rsidRDefault="004C3D6B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CC3C25" wp14:editId="502C303B">
          <wp:simplePos x="0" y="0"/>
          <wp:positionH relativeFrom="column">
            <wp:posOffset>512445</wp:posOffset>
          </wp:positionH>
          <wp:positionV relativeFrom="paragraph">
            <wp:posOffset>9422765</wp:posOffset>
          </wp:positionV>
          <wp:extent cx="7556500" cy="635"/>
          <wp:effectExtent l="0" t="0" r="0" b="0"/>
          <wp:wrapNone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06" b="15327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56500" cy="6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A432AA3" wp14:editId="0DC79BF0">
              <wp:simplePos x="0" y="0"/>
              <wp:positionH relativeFrom="column">
                <wp:posOffset>512445</wp:posOffset>
              </wp:positionH>
              <wp:positionV relativeFrom="paragraph">
                <wp:posOffset>9490075</wp:posOffset>
              </wp:positionV>
              <wp:extent cx="1462405" cy="1270"/>
              <wp:effectExtent l="0" t="3175" r="0" b="0"/>
              <wp:wrapNone/>
              <wp:docPr id="2" name="Rectángul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2405" cy="1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1A90E3" w14:textId="77777777" w:rsidR="009B69BE" w:rsidRDefault="009B69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32AA3" id="Rectángulo1" o:spid="_x0000_s1026" style="position:absolute;margin-left:40.35pt;margin-top:747.25pt;width:115.1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" stroked="f" strokecolor="#3465a4">
              <v:stroke joinstyle="round"/>
              <v:textbox>
                <w:txbxContent>
                  <w:p w14:paraId="411A90E3" w14:textId="77777777" w:rsidR="009B69BE" w:rsidRDefault="009B69BE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72390" distB="72390" distL="0" distR="0" simplePos="0" relativeHeight="251663360" behindDoc="1" locked="0" layoutInCell="1" allowOverlap="1" wp14:anchorId="3DB60F2B" wp14:editId="0C70BB51">
              <wp:simplePos x="0" y="0"/>
              <wp:positionH relativeFrom="column">
                <wp:posOffset>512445</wp:posOffset>
              </wp:positionH>
              <wp:positionV relativeFrom="paragraph">
                <wp:posOffset>9490075</wp:posOffset>
              </wp:positionV>
              <wp:extent cx="1462405" cy="0"/>
              <wp:effectExtent l="7620" t="9109075" r="6350" b="91103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2405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F294" w14:textId="77777777" w:rsidR="009B69BE" w:rsidRDefault="004C3D6B">
                          <w:pPr>
                            <w:pStyle w:val="Contenidodelmarco"/>
                            <w:jc w:val="center"/>
                          </w:pPr>
                          <w:r>
                            <w:rPr>
                              <w:b/>
                              <w:color w:val="1E6869"/>
                              <w:sz w:val="18"/>
                              <w:szCs w:val="18"/>
                            </w:rPr>
                            <w:t>www.infocdmx.org.mx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60F2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0.35pt;margin-top:747.25pt;width:115.15pt;height:0;z-index:-251653120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" stroked="f">
              <v:fill opacity="0"/>
              <v:textbox>
                <w:txbxContent>
                  <w:p w14:paraId="1AB6F294" w14:textId="77777777" w:rsidR="009B69BE" w:rsidRDefault="004C3D6B">
                    <w:pPr>
                      <w:pStyle w:val="Contenidodelmarco"/>
                      <w:jc w:val="center"/>
                    </w:pPr>
                    <w:r>
                      <w:rPr>
                        <w:b/>
                        <w:color w:val="1E6869"/>
                        <w:sz w:val="18"/>
                        <w:szCs w:val="18"/>
                      </w:rPr>
                      <w:t>www.infocdmx.org.mx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5BCECBF8" wp14:editId="2773D61E">
          <wp:simplePos x="0" y="0"/>
          <wp:positionH relativeFrom="column">
            <wp:posOffset>-821055</wp:posOffset>
          </wp:positionH>
          <wp:positionV relativeFrom="paragraph">
            <wp:posOffset>-414655</wp:posOffset>
          </wp:positionV>
          <wp:extent cx="7554595" cy="38100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E29A" w14:textId="77777777" w:rsidR="00497A81" w:rsidRDefault="00497A81">
      <w:pPr>
        <w:spacing w:after="0" w:line="240" w:lineRule="auto"/>
      </w:pPr>
      <w:r>
        <w:separator/>
      </w:r>
    </w:p>
  </w:footnote>
  <w:footnote w:type="continuationSeparator" w:id="0">
    <w:p w14:paraId="590A398D" w14:textId="77777777" w:rsidR="00497A81" w:rsidRDefault="0049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D407" w14:textId="77777777" w:rsidR="009B69BE" w:rsidRDefault="004C3D6B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43E76545" wp14:editId="1F24D356">
          <wp:simplePos x="0" y="0"/>
          <wp:positionH relativeFrom="column">
            <wp:posOffset>-676910</wp:posOffset>
          </wp:positionH>
          <wp:positionV relativeFrom="paragraph">
            <wp:posOffset>-52070</wp:posOffset>
          </wp:positionV>
          <wp:extent cx="6798310" cy="876935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876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677D"/>
    <w:multiLevelType w:val="multilevel"/>
    <w:tmpl w:val="D48EE7A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13E2737F"/>
    <w:multiLevelType w:val="hybridMultilevel"/>
    <w:tmpl w:val="01B2766C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24A4"/>
    <w:multiLevelType w:val="hybridMultilevel"/>
    <w:tmpl w:val="E09694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01B5"/>
    <w:multiLevelType w:val="hybridMultilevel"/>
    <w:tmpl w:val="1AC8CE28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2B7E"/>
    <w:multiLevelType w:val="hybridMultilevel"/>
    <w:tmpl w:val="C6704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58A"/>
    <w:multiLevelType w:val="hybridMultilevel"/>
    <w:tmpl w:val="66ECF528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87471821">
    <w:abstractNumId w:val="5"/>
  </w:num>
  <w:num w:numId="2" w16cid:durableId="1163081575">
    <w:abstractNumId w:val="2"/>
  </w:num>
  <w:num w:numId="3" w16cid:durableId="1012030850">
    <w:abstractNumId w:val="3"/>
  </w:num>
  <w:num w:numId="4" w16cid:durableId="369301108">
    <w:abstractNumId w:val="1"/>
  </w:num>
  <w:num w:numId="5" w16cid:durableId="2019379066">
    <w:abstractNumId w:val="4"/>
  </w:num>
  <w:num w:numId="6" w16cid:durableId="108707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6B"/>
    <w:rsid w:val="0000594C"/>
    <w:rsid w:val="0002558D"/>
    <w:rsid w:val="00047602"/>
    <w:rsid w:val="00071BDB"/>
    <w:rsid w:val="00072304"/>
    <w:rsid w:val="00081761"/>
    <w:rsid w:val="00090632"/>
    <w:rsid w:val="000A3EA7"/>
    <w:rsid w:val="00100A1F"/>
    <w:rsid w:val="00105295"/>
    <w:rsid w:val="0015393A"/>
    <w:rsid w:val="001604E1"/>
    <w:rsid w:val="001934FC"/>
    <w:rsid w:val="001E319A"/>
    <w:rsid w:val="001F7585"/>
    <w:rsid w:val="00241F8C"/>
    <w:rsid w:val="0025465D"/>
    <w:rsid w:val="002F503C"/>
    <w:rsid w:val="002F7693"/>
    <w:rsid w:val="0030283D"/>
    <w:rsid w:val="00312789"/>
    <w:rsid w:val="00314D09"/>
    <w:rsid w:val="00324C85"/>
    <w:rsid w:val="00326346"/>
    <w:rsid w:val="0034508F"/>
    <w:rsid w:val="00345D25"/>
    <w:rsid w:val="00346D6D"/>
    <w:rsid w:val="003A1F7D"/>
    <w:rsid w:val="003D201A"/>
    <w:rsid w:val="003F24DA"/>
    <w:rsid w:val="00420FEC"/>
    <w:rsid w:val="0043149B"/>
    <w:rsid w:val="00437EB0"/>
    <w:rsid w:val="00440821"/>
    <w:rsid w:val="00445B4B"/>
    <w:rsid w:val="004502BB"/>
    <w:rsid w:val="00451513"/>
    <w:rsid w:val="00460B8B"/>
    <w:rsid w:val="00477EBA"/>
    <w:rsid w:val="0048083E"/>
    <w:rsid w:val="0048554D"/>
    <w:rsid w:val="00497A81"/>
    <w:rsid w:val="004A3028"/>
    <w:rsid w:val="004A75C9"/>
    <w:rsid w:val="004B3508"/>
    <w:rsid w:val="004B720B"/>
    <w:rsid w:val="004C3D6B"/>
    <w:rsid w:val="004F02E8"/>
    <w:rsid w:val="005031F5"/>
    <w:rsid w:val="00526327"/>
    <w:rsid w:val="00537603"/>
    <w:rsid w:val="005868C6"/>
    <w:rsid w:val="005934A0"/>
    <w:rsid w:val="005A1664"/>
    <w:rsid w:val="005C0466"/>
    <w:rsid w:val="005C0502"/>
    <w:rsid w:val="005D2C1C"/>
    <w:rsid w:val="005E505C"/>
    <w:rsid w:val="006139BA"/>
    <w:rsid w:val="006355E1"/>
    <w:rsid w:val="00647343"/>
    <w:rsid w:val="006618BA"/>
    <w:rsid w:val="00674484"/>
    <w:rsid w:val="00697989"/>
    <w:rsid w:val="006B17F3"/>
    <w:rsid w:val="0071536B"/>
    <w:rsid w:val="00715879"/>
    <w:rsid w:val="007172EF"/>
    <w:rsid w:val="007409F1"/>
    <w:rsid w:val="007458F6"/>
    <w:rsid w:val="00773D16"/>
    <w:rsid w:val="007C0AF5"/>
    <w:rsid w:val="00800304"/>
    <w:rsid w:val="008050B8"/>
    <w:rsid w:val="00807635"/>
    <w:rsid w:val="00814596"/>
    <w:rsid w:val="008324E7"/>
    <w:rsid w:val="00843ED0"/>
    <w:rsid w:val="00857B9D"/>
    <w:rsid w:val="0086052A"/>
    <w:rsid w:val="008872E8"/>
    <w:rsid w:val="008A150B"/>
    <w:rsid w:val="008B0CA9"/>
    <w:rsid w:val="008C4C34"/>
    <w:rsid w:val="008E7767"/>
    <w:rsid w:val="00920D19"/>
    <w:rsid w:val="009355C2"/>
    <w:rsid w:val="00973831"/>
    <w:rsid w:val="009766AF"/>
    <w:rsid w:val="00986F14"/>
    <w:rsid w:val="009B69BE"/>
    <w:rsid w:val="009C3526"/>
    <w:rsid w:val="009E449A"/>
    <w:rsid w:val="009F2600"/>
    <w:rsid w:val="009F2A62"/>
    <w:rsid w:val="00A20774"/>
    <w:rsid w:val="00A2388D"/>
    <w:rsid w:val="00A81C01"/>
    <w:rsid w:val="00AA0993"/>
    <w:rsid w:val="00AD4FAA"/>
    <w:rsid w:val="00AF39EE"/>
    <w:rsid w:val="00B01562"/>
    <w:rsid w:val="00B530F4"/>
    <w:rsid w:val="00B573F6"/>
    <w:rsid w:val="00B64C3F"/>
    <w:rsid w:val="00B9631F"/>
    <w:rsid w:val="00BA012D"/>
    <w:rsid w:val="00BA1FBE"/>
    <w:rsid w:val="00BB540D"/>
    <w:rsid w:val="00BC26E1"/>
    <w:rsid w:val="00BF1A7F"/>
    <w:rsid w:val="00BF21BD"/>
    <w:rsid w:val="00C255CD"/>
    <w:rsid w:val="00C66BA9"/>
    <w:rsid w:val="00D331C0"/>
    <w:rsid w:val="00D36FC9"/>
    <w:rsid w:val="00D63F56"/>
    <w:rsid w:val="00D87F39"/>
    <w:rsid w:val="00DB4533"/>
    <w:rsid w:val="00DB6618"/>
    <w:rsid w:val="00E05C36"/>
    <w:rsid w:val="00E07A94"/>
    <w:rsid w:val="00E35D97"/>
    <w:rsid w:val="00E5381B"/>
    <w:rsid w:val="00E72DAE"/>
    <w:rsid w:val="00E84AF9"/>
    <w:rsid w:val="00EA7C99"/>
    <w:rsid w:val="00ED3018"/>
    <w:rsid w:val="00EE19C4"/>
    <w:rsid w:val="00F6643C"/>
    <w:rsid w:val="00F75FDE"/>
    <w:rsid w:val="00F963E1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5ED4"/>
  <w15:chartTrackingRefBased/>
  <w15:docId w15:val="{4D3B2E4B-1615-41F2-AD33-DCDDDE62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6B"/>
    <w:pPr>
      <w:suppressAutoHyphens/>
    </w:pPr>
    <w:rPr>
      <w:rFonts w:ascii="Calibri" w:eastAsia="Calibri" w:hAnsi="Calibri" w:cs="Times New Roman"/>
      <w:kern w:val="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C3D6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C3D6B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4C3D6B"/>
    <w:rPr>
      <w:rFonts w:ascii="Calibri" w:eastAsia="Calibri" w:hAnsi="Calibri" w:cs="Times New Roman"/>
      <w:kern w:val="2"/>
      <w:lang w:eastAsia="ja-JP"/>
    </w:rPr>
  </w:style>
  <w:style w:type="paragraph" w:styleId="Encabezado">
    <w:name w:val="header"/>
    <w:aliases w:val=" Car"/>
    <w:basedOn w:val="Normal"/>
    <w:link w:val="EncabezadoCar"/>
    <w:rsid w:val="004C3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4C3D6B"/>
    <w:rPr>
      <w:rFonts w:ascii="Calibri" w:eastAsia="Calibri" w:hAnsi="Calibri" w:cs="Times New Roman"/>
      <w:kern w:val="2"/>
      <w:lang w:eastAsia="ja-JP"/>
    </w:rPr>
  </w:style>
  <w:style w:type="paragraph" w:styleId="Piedepgina">
    <w:name w:val="footer"/>
    <w:basedOn w:val="Normal"/>
    <w:link w:val="PiedepginaCar"/>
    <w:rsid w:val="004C3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C3D6B"/>
    <w:rPr>
      <w:rFonts w:ascii="Calibri" w:eastAsia="Calibri" w:hAnsi="Calibri" w:cs="Times New Roman"/>
      <w:kern w:val="2"/>
      <w:lang w:eastAsia="ja-JP"/>
    </w:rPr>
  </w:style>
  <w:style w:type="paragraph" w:customStyle="1" w:styleId="Contenidodelmarco">
    <w:name w:val="Contenido del marco"/>
    <w:basedOn w:val="Normal"/>
    <w:rsid w:val="004C3D6B"/>
  </w:style>
  <w:style w:type="character" w:customStyle="1" w:styleId="mark8ipttme3r">
    <w:name w:val="mark8ipttme3r"/>
    <w:basedOn w:val="Fuentedeprrafopredeter"/>
    <w:rsid w:val="00477EBA"/>
  </w:style>
  <w:style w:type="character" w:customStyle="1" w:styleId="apple-converted-space">
    <w:name w:val="apple-converted-space"/>
    <w:basedOn w:val="Fuentedeprrafopredeter"/>
    <w:rsid w:val="00477EBA"/>
  </w:style>
  <w:style w:type="character" w:customStyle="1" w:styleId="markrbkm2gyoz">
    <w:name w:val="markrbkm2gyoz"/>
    <w:basedOn w:val="Fuentedeprrafopredeter"/>
    <w:rsid w:val="00477EBA"/>
  </w:style>
  <w:style w:type="character" w:customStyle="1" w:styleId="markplqbs3hik">
    <w:name w:val="markplqbs3hik"/>
    <w:basedOn w:val="Fuentedeprrafopredeter"/>
    <w:rsid w:val="00477EBA"/>
  </w:style>
  <w:style w:type="paragraph" w:styleId="Prrafodelista">
    <w:name w:val="List Paragraph"/>
    <w:aliases w:val="AB List 1,Bullet Points,Bullet List,FooterText,numbered,Paragraphe de liste1,List Paragraph1,Bulletr List Paragraph,Párrafo de lista1"/>
    <w:basedOn w:val="Normal"/>
    <w:link w:val="PrrafodelistaCar"/>
    <w:uiPriority w:val="34"/>
    <w:qFormat/>
    <w:rsid w:val="00081761"/>
    <w:pPr>
      <w:ind w:left="720"/>
      <w:contextualSpacing/>
    </w:pPr>
  </w:style>
  <w:style w:type="character" w:customStyle="1" w:styleId="PrrafodelistaCar">
    <w:name w:val="Párrafo de lista Car"/>
    <w:aliases w:val="AB List 1 Car,Bullet Points Car,Bullet List Car,FooterText Car,numbered Car,Paragraphe de liste1 Car,List Paragraph1 Car,Bulletr List Paragraph Car,Párrafo de lista1 Car"/>
    <w:link w:val="Prrafodelista"/>
    <w:uiPriority w:val="34"/>
    <w:locked/>
    <w:rsid w:val="00973831"/>
    <w:rPr>
      <w:rFonts w:ascii="Calibri" w:eastAsia="Calibri" w:hAnsi="Calibri" w:cs="Times New Roman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am.juarez\Downloads\A133Fr03C%20T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am.juarez\Downloads\A133Fr03C%20T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am.juarez\Downloads\A133Fr03C%20T0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am.juarez\Downloads\A133Fr03C%20T0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lam.juarez\Downloads\A133Fr03C%20T0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100">
                <a:latin typeface="Arial" panose="020B0604020202020204" pitchFamily="34" charset="0"/>
                <a:cs typeface="Arial" panose="020B0604020202020204" pitchFamily="34" charset="0"/>
              </a:rPr>
              <a:t>SENTIDO DE LAS RESOLUCIONES A RECURSOS DE REVISIÓN APROBADAS POR EL PLENO EN MATERIA DE ACCESO A LA INFORMACIÓN PÚBLICA </a:t>
            </a:r>
          </a:p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MX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0C-4C6D-B2C1-E241405130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0C-4C6D-B2C1-E241405130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0C-4C6D-B2C1-E241405130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A0C-4C6D-B2C1-E241405130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3A0C-4C6D-B2C1-E241405130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3A0C-4C6D-B2C1-E2414051302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'Sentidos de los asuntos '!$B$5:$B$10</c:f>
              <c:strCache>
                <c:ptCount val="6"/>
                <c:pt idx="0">
                  <c:v>Confirmar</c:v>
                </c:pt>
                <c:pt idx="1">
                  <c:v>Desechar</c:v>
                </c:pt>
                <c:pt idx="2">
                  <c:v>Modificar</c:v>
                </c:pt>
                <c:pt idx="3">
                  <c:v>Ordenar</c:v>
                </c:pt>
                <c:pt idx="4">
                  <c:v>Revocar</c:v>
                </c:pt>
                <c:pt idx="5">
                  <c:v>Sobreseer</c:v>
                </c:pt>
              </c:strCache>
            </c:strRef>
          </c:cat>
          <c:val>
            <c:numRef>
              <c:f>'Sentidos de los asuntos '!$C$5:$C$10</c:f>
              <c:numCache>
                <c:formatCode>General</c:formatCode>
                <c:ptCount val="6"/>
                <c:pt idx="0">
                  <c:v>122</c:v>
                </c:pt>
                <c:pt idx="1">
                  <c:v>335</c:v>
                </c:pt>
                <c:pt idx="2">
                  <c:v>468</c:v>
                </c:pt>
                <c:pt idx="3">
                  <c:v>77</c:v>
                </c:pt>
                <c:pt idx="4">
                  <c:v>354</c:v>
                </c:pt>
                <c:pt idx="5">
                  <c:v>405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0C-4C6D-B2C1-E2414051302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272826249843262"/>
          <c:y val="0.40668543703013177"/>
          <c:w val="0.22561968432416563"/>
          <c:h val="0.447001357038800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100">
                <a:latin typeface="Arial" panose="020B0604020202020204" pitchFamily="34" charset="0"/>
                <a:cs typeface="Arial" panose="020B0604020202020204" pitchFamily="34" charset="0"/>
              </a:rPr>
              <a:t>SENTIDO DE LAS RESOLUCIONES A RECURSOS DE REVISIÓN APROBADAS POR EL PLENO EN MATERIA DE DATOS PERSONALES</a:t>
            </a:r>
          </a:p>
          <a:p>
            <a:pPr>
              <a:defRPr sz="11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s-MX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456-4297-9200-9CF20C9A7B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456-4297-9200-9CF20C9A7B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456-4297-9200-9CF20C9A7B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456-4297-9200-9CF20C9A7B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456-4297-9200-9CF20C9A7BD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456-4297-9200-9CF20C9A7BD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'Sentidos de los asuntos '!$B$20:$B$25</c:f>
              <c:strCache>
                <c:ptCount val="6"/>
                <c:pt idx="0">
                  <c:v>Confirmar</c:v>
                </c:pt>
                <c:pt idx="1">
                  <c:v>Desechar</c:v>
                </c:pt>
                <c:pt idx="2">
                  <c:v>Modificar</c:v>
                </c:pt>
                <c:pt idx="3">
                  <c:v>Ordenar</c:v>
                </c:pt>
                <c:pt idx="4">
                  <c:v>Revocar</c:v>
                </c:pt>
                <c:pt idx="5">
                  <c:v>Sobreseer</c:v>
                </c:pt>
              </c:strCache>
            </c:strRef>
          </c:cat>
          <c:val>
            <c:numRef>
              <c:f>'Sentidos de los asuntos '!$C$20:$C$25</c:f>
              <c:numCache>
                <c:formatCode>General</c:formatCode>
                <c:ptCount val="6"/>
                <c:pt idx="0">
                  <c:v>7</c:v>
                </c:pt>
                <c:pt idx="1">
                  <c:v>19</c:v>
                </c:pt>
                <c:pt idx="2">
                  <c:v>16</c:v>
                </c:pt>
                <c:pt idx="3">
                  <c:v>2</c:v>
                </c:pt>
                <c:pt idx="4">
                  <c:v>55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456-4297-9200-9CF20C9A7BD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143344883028012"/>
          <c:y val="0.41237484306990208"/>
          <c:w val="0.18713041739937214"/>
          <c:h val="0.3899879497852497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100">
                <a:latin typeface="Arial" panose="020B0604020202020204" pitchFamily="34" charset="0"/>
                <a:cs typeface="Arial" panose="020B0604020202020204" pitchFamily="34" charset="0"/>
              </a:rPr>
              <a:t>SENTIDO DE LAS RESOLUCIONES A DLT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923-4271-BAD8-1F91B48868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923-4271-BAD8-1F91B48868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923-4271-BAD8-1F91B48868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923-4271-BAD8-1F91B48868C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'Sentidos de los asuntos '!$B$37:$B$40</c:f>
              <c:strCache>
                <c:ptCount val="4"/>
                <c:pt idx="0">
                  <c:v>Infundada</c:v>
                </c:pt>
                <c:pt idx="1">
                  <c:v>Desechar</c:v>
                </c:pt>
                <c:pt idx="2">
                  <c:v>Parcialmente fundada</c:v>
                </c:pt>
                <c:pt idx="3">
                  <c:v>Fundada</c:v>
                </c:pt>
              </c:strCache>
            </c:strRef>
          </c:cat>
          <c:val>
            <c:numRef>
              <c:f>'Sentidos de los asuntos '!$C$37:$C$40</c:f>
              <c:numCache>
                <c:formatCode>General</c:formatCode>
                <c:ptCount val="4"/>
                <c:pt idx="0">
                  <c:v>178</c:v>
                </c:pt>
                <c:pt idx="1">
                  <c:v>4</c:v>
                </c:pt>
                <c:pt idx="2">
                  <c:v>48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23-4271-BAD8-1F91B48868C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187071462284862"/>
          <c:y val="0.36263204517207315"/>
          <c:w val="0.21134389721174585"/>
          <c:h val="0.4114198564654315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050">
                <a:latin typeface="Arial" panose="020B0604020202020204" pitchFamily="34" charset="0"/>
                <a:cs typeface="Arial" panose="020B0604020202020204" pitchFamily="34" charset="0"/>
              </a:rPr>
              <a:t>SENTIDO DE LAS RESOLUCIONES A DENUNCIAS EN MATERIA DE PROTECCIÓN A DATOS PERSONALES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747-408F-80C1-478DAEC9F7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747-408F-80C1-478DAEC9F7D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D33312D-202D-4F88-AC63-6AA22EF95CF9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747-408F-80C1-478DAEC9F7D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231FCD4-772E-4693-BCDB-95A39777B718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747-408F-80C1-478DAEC9F7D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'Sentidos de los asuntos '!$B$53:$B$54</c:f>
              <c:strCache>
                <c:ptCount val="2"/>
                <c:pt idx="0">
                  <c:v>Parcialmente fundada </c:v>
                </c:pt>
                <c:pt idx="1">
                  <c:v>Infundada</c:v>
                </c:pt>
              </c:strCache>
            </c:strRef>
          </c:cat>
          <c:val>
            <c:numRef>
              <c:f>'Sentidos de los asuntos '!$C$53:$C$54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47-408F-80C1-478DAEC9F7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000">
                <a:latin typeface="Arial" panose="020B0604020202020204" pitchFamily="34" charset="0"/>
                <a:cs typeface="Arial" panose="020B0604020202020204" pitchFamily="34" charset="0"/>
              </a:rPr>
              <a:t>RESOLUCIONES SUSCEPTIBLES DE CUMPLIMIENTO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5897435897435895E-2"/>
          <c:y val="0.22412993039443155"/>
          <c:w val="0.74028588734100542"/>
          <c:h val="0.7387470997679814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8EC-4A54-90AD-378A2E130A3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8EC-4A54-90AD-378A2E130A3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8EC-4A54-90AD-378A2E130A35}"/>
              </c:ext>
            </c:extLst>
          </c:dPt>
          <c:dLbls>
            <c:dLbl>
              <c:idx val="1"/>
              <c:layout>
                <c:manualLayout>
                  <c:x val="3.378006910071589E-2"/>
                  <c:y val="8.6823331021446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EC-4A54-90AD-378A2E130A35}"/>
                </c:ext>
              </c:extLst>
            </c:dLbl>
            <c:dLbl>
              <c:idx val="2"/>
              <c:layout>
                <c:manualLayout>
                  <c:x val="1.5017383487311679E-2"/>
                  <c:y val="8.5018155114030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EC-4A54-90AD-378A2E130A35}"/>
                </c:ext>
              </c:extLst>
            </c:dLbl>
            <c:dLbl>
              <c:idx val="3"/>
              <c:layout>
                <c:manualLayout>
                  <c:x val="1.375385848433325E-2"/>
                  <c:y val="8.7849808929324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EC-4A54-90AD-378A2E130A3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Cumplimiento!$A$5:$A$8</c:f>
              <c:strCache>
                <c:ptCount val="4"/>
                <c:pt idx="0">
                  <c:v>IP</c:v>
                </c:pt>
                <c:pt idx="1">
                  <c:v>DP</c:v>
                </c:pt>
                <c:pt idx="2">
                  <c:v>DLT</c:v>
                </c:pt>
                <c:pt idx="3">
                  <c:v>D</c:v>
                </c:pt>
              </c:strCache>
            </c:strRef>
          </c:cat>
          <c:val>
            <c:numRef>
              <c:f>Cumplimiento!$B$5:$B$8</c:f>
              <c:numCache>
                <c:formatCode>General</c:formatCode>
                <c:ptCount val="4"/>
                <c:pt idx="0">
                  <c:v>897</c:v>
                </c:pt>
                <c:pt idx="1">
                  <c:v>73</c:v>
                </c:pt>
                <c:pt idx="2">
                  <c:v>50</c:v>
                </c:pt>
                <c:pt idx="3" formatCode="#,##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EC-4A54-90AD-378A2E130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221712"/>
        <c:axId val="15220752"/>
      </c:barChart>
      <c:valAx>
        <c:axId val="1522075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221712"/>
        <c:crosses val="autoZero"/>
        <c:crossBetween val="between"/>
      </c:valAx>
      <c:catAx>
        <c:axId val="15221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220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1B0C-F590-4703-9404-E86C04FD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1583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arely sevilla</dc:creator>
  <cp:keywords/>
  <dc:description/>
  <cp:lastModifiedBy>Brenda Trujillo Velázquez</cp:lastModifiedBy>
  <cp:revision>22</cp:revision>
  <cp:lastPrinted>2022-08-04T22:41:00Z</cp:lastPrinted>
  <dcterms:created xsi:type="dcterms:W3CDTF">2023-05-24T21:10:00Z</dcterms:created>
  <dcterms:modified xsi:type="dcterms:W3CDTF">2024-07-18T17:27:00Z</dcterms:modified>
</cp:coreProperties>
</file>